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1B04F" w14:textId="77777777" w:rsidR="0067007E" w:rsidRDefault="0067007E">
      <w:pPr>
        <w:pBdr>
          <w:top w:val="nil"/>
          <w:left w:val="nil"/>
          <w:bottom w:val="nil"/>
          <w:right w:val="nil"/>
          <w:between w:val="nil"/>
        </w:pBdr>
        <w:spacing w:after="0" w:line="240" w:lineRule="auto"/>
        <w:jc w:val="both"/>
        <w:rPr>
          <w:rFonts w:ascii="Arial Narrow" w:eastAsia="Arial Narrow" w:hAnsi="Arial Narrow" w:cs="Arial Narrow"/>
          <w:color w:val="000000"/>
          <w:sz w:val="21"/>
          <w:szCs w:val="21"/>
        </w:rPr>
      </w:pPr>
    </w:p>
    <w:p w14:paraId="345593BA" w14:textId="77777777" w:rsidR="0067007E" w:rsidRPr="007D4A5D" w:rsidRDefault="00000000"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r w:rsidRPr="007D4A5D">
        <w:rPr>
          <w:rFonts w:ascii="Arial Narrow" w:eastAsia="Arial Narrow" w:hAnsi="Arial Narrow" w:cs="Arial Narrow"/>
          <w:b/>
          <w:sz w:val="24"/>
          <w:szCs w:val="24"/>
        </w:rPr>
        <w:t>Bogotá D.C junio del 2025</w:t>
      </w:r>
    </w:p>
    <w:p w14:paraId="521115EB"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p>
    <w:p w14:paraId="7482BFEB"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57099B9F" w14:textId="77777777" w:rsidR="0067007E" w:rsidRPr="007D4A5D" w:rsidRDefault="00000000" w:rsidP="00577605">
      <w:pPr>
        <w:pStyle w:val="Sinespaciado"/>
      </w:pPr>
      <w:r w:rsidRPr="007D4A5D">
        <w:t>Honorable Representante a la Cámara de Representantes</w:t>
      </w:r>
    </w:p>
    <w:p w14:paraId="26A40957" w14:textId="77777777" w:rsidR="0067007E" w:rsidRPr="007D4A5D" w:rsidRDefault="00000000" w:rsidP="00577605">
      <w:pPr>
        <w:pStyle w:val="Sinespaciado"/>
        <w:rPr>
          <w:b/>
        </w:rPr>
      </w:pPr>
      <w:r w:rsidRPr="007D4A5D">
        <w:rPr>
          <w:b/>
        </w:rPr>
        <w:t>ANA PAOLA GARCÍA SOTO</w:t>
      </w:r>
    </w:p>
    <w:p w14:paraId="7E071BA1" w14:textId="77777777" w:rsidR="0067007E" w:rsidRPr="007D4A5D" w:rsidRDefault="00000000" w:rsidP="00577605">
      <w:pPr>
        <w:pStyle w:val="Sinespaciado"/>
      </w:pPr>
      <w:r w:rsidRPr="007D4A5D">
        <w:t>Presidente Comisión Primera Constitucional</w:t>
      </w:r>
    </w:p>
    <w:p w14:paraId="71BBE533" w14:textId="77777777" w:rsidR="0067007E" w:rsidRPr="007D4A5D" w:rsidRDefault="00000000" w:rsidP="00577605">
      <w:pPr>
        <w:pStyle w:val="Sinespaciado"/>
      </w:pPr>
      <w:r w:rsidRPr="007D4A5D">
        <w:t>Cámara de Representantes</w:t>
      </w:r>
    </w:p>
    <w:p w14:paraId="5054BD27" w14:textId="77777777" w:rsidR="0067007E" w:rsidRPr="007D4A5D" w:rsidRDefault="0067007E" w:rsidP="00174F25">
      <w:pPr>
        <w:spacing w:before="240" w:after="240" w:line="240" w:lineRule="auto"/>
        <w:jc w:val="both"/>
        <w:rPr>
          <w:rFonts w:ascii="Arial Narrow" w:eastAsia="Arial Narrow" w:hAnsi="Arial Narrow" w:cs="Arial Narrow"/>
          <w:sz w:val="24"/>
          <w:szCs w:val="24"/>
        </w:rPr>
      </w:pPr>
    </w:p>
    <w:p w14:paraId="5DE96319" w14:textId="438AAC31" w:rsidR="0067007E" w:rsidRPr="007D4A5D" w:rsidRDefault="00000000" w:rsidP="00174F25">
      <w:pPr>
        <w:spacing w:before="240" w:after="240" w:line="240" w:lineRule="auto"/>
        <w:jc w:val="both"/>
        <w:rPr>
          <w:rFonts w:ascii="Arial Narrow" w:eastAsia="Arial Narrow" w:hAnsi="Arial Narrow" w:cs="Arial Narrow"/>
          <w:b/>
          <w:i/>
          <w:sz w:val="24"/>
          <w:szCs w:val="24"/>
        </w:rPr>
      </w:pPr>
      <w:r w:rsidRPr="007D4A5D">
        <w:rPr>
          <w:rFonts w:ascii="Arial Narrow" w:eastAsia="Arial Narrow" w:hAnsi="Arial Narrow" w:cs="Arial Narrow"/>
          <w:b/>
          <w:i/>
          <w:sz w:val="24"/>
          <w:szCs w:val="24"/>
        </w:rPr>
        <w:t xml:space="preserve">REF. Informe de </w:t>
      </w:r>
      <w:r w:rsidR="00174F25">
        <w:rPr>
          <w:rFonts w:ascii="Arial Narrow" w:eastAsia="Arial Narrow" w:hAnsi="Arial Narrow" w:cs="Arial Narrow"/>
          <w:b/>
          <w:i/>
          <w:sz w:val="24"/>
          <w:szCs w:val="24"/>
        </w:rPr>
        <w:t>P</w:t>
      </w:r>
      <w:r w:rsidRPr="007D4A5D">
        <w:rPr>
          <w:rFonts w:ascii="Arial Narrow" w:eastAsia="Arial Narrow" w:hAnsi="Arial Narrow" w:cs="Arial Narrow"/>
          <w:b/>
          <w:i/>
          <w:sz w:val="24"/>
          <w:szCs w:val="24"/>
        </w:rPr>
        <w:t xml:space="preserve">onencia </w:t>
      </w:r>
      <w:r w:rsidR="00174F25">
        <w:rPr>
          <w:rFonts w:ascii="Arial Narrow" w:eastAsia="Arial Narrow" w:hAnsi="Arial Narrow" w:cs="Arial Narrow"/>
          <w:b/>
          <w:i/>
          <w:sz w:val="24"/>
          <w:szCs w:val="24"/>
        </w:rPr>
        <w:t>de Archivo</w:t>
      </w:r>
      <w:r w:rsidRPr="007D4A5D">
        <w:rPr>
          <w:rFonts w:ascii="Arial Narrow" w:eastAsia="Arial Narrow" w:hAnsi="Arial Narrow" w:cs="Arial Narrow"/>
          <w:b/>
          <w:i/>
          <w:sz w:val="24"/>
          <w:szCs w:val="24"/>
        </w:rPr>
        <w:t xml:space="preserve"> para primer debate en la Comisión Primera Constitucional Permanente de la Cámara de Representantes al Proyecto de Ley 587 del 2025 Cámara “Por medio del cual se adopta una reforma estructural al ICETEX y se dictan otras disposiciones”</w:t>
      </w:r>
    </w:p>
    <w:p w14:paraId="5D8B9F6E" w14:textId="77777777" w:rsidR="0067007E" w:rsidRPr="007D4A5D" w:rsidRDefault="0067007E" w:rsidP="00174F25">
      <w:pPr>
        <w:spacing w:before="240" w:after="240" w:line="240" w:lineRule="auto"/>
        <w:jc w:val="both"/>
        <w:rPr>
          <w:rFonts w:ascii="Arial Narrow" w:eastAsia="Arial Narrow" w:hAnsi="Arial Narrow" w:cs="Arial Narrow"/>
          <w:sz w:val="24"/>
          <w:szCs w:val="24"/>
        </w:rPr>
      </w:pPr>
    </w:p>
    <w:p w14:paraId="507027A3" w14:textId="0F7AE80D" w:rsidR="0067007E" w:rsidRPr="007D4A5D" w:rsidRDefault="00000000" w:rsidP="00174F25">
      <w:pPr>
        <w:spacing w:before="240" w:after="240" w:line="240" w:lineRule="auto"/>
        <w:jc w:val="both"/>
        <w:rPr>
          <w:rFonts w:ascii="Arial Narrow" w:eastAsia="Arial Narrow" w:hAnsi="Arial Narrow" w:cs="Arial Narrow"/>
          <w:sz w:val="24"/>
          <w:szCs w:val="24"/>
        </w:rPr>
      </w:pPr>
      <w:r w:rsidRPr="007D4A5D">
        <w:rPr>
          <w:rFonts w:ascii="Arial Narrow" w:eastAsia="Arial Narrow" w:hAnsi="Arial Narrow" w:cs="Arial Narrow"/>
          <w:sz w:val="24"/>
          <w:szCs w:val="24"/>
        </w:rPr>
        <w:t xml:space="preserve">Respetada </w:t>
      </w:r>
      <w:r w:rsidR="00C5685A" w:rsidRPr="007D4A5D">
        <w:rPr>
          <w:rFonts w:ascii="Arial Narrow" w:eastAsia="Arial Narrow" w:hAnsi="Arial Narrow" w:cs="Arial Narrow"/>
          <w:sz w:val="24"/>
          <w:szCs w:val="24"/>
        </w:rPr>
        <w:t>presidenta</w:t>
      </w:r>
      <w:r w:rsidRPr="007D4A5D">
        <w:rPr>
          <w:rFonts w:ascii="Arial Narrow" w:eastAsia="Arial Narrow" w:hAnsi="Arial Narrow" w:cs="Arial Narrow"/>
          <w:sz w:val="24"/>
          <w:szCs w:val="24"/>
        </w:rPr>
        <w:t>.</w:t>
      </w:r>
    </w:p>
    <w:p w14:paraId="79AD6889" w14:textId="151AEEE1" w:rsidR="0067007E" w:rsidRPr="007D4A5D" w:rsidRDefault="00000000" w:rsidP="00174F25">
      <w:pPr>
        <w:spacing w:before="240" w:after="240" w:line="240" w:lineRule="auto"/>
        <w:jc w:val="both"/>
        <w:rPr>
          <w:rFonts w:ascii="Arial Narrow" w:eastAsia="Arial Narrow" w:hAnsi="Arial Narrow" w:cs="Arial Narrow"/>
          <w:sz w:val="24"/>
          <w:szCs w:val="24"/>
        </w:rPr>
      </w:pPr>
      <w:r w:rsidRPr="007D4A5D">
        <w:rPr>
          <w:rFonts w:ascii="Arial Narrow" w:eastAsia="Arial Narrow" w:hAnsi="Arial Narrow" w:cs="Arial Narrow"/>
          <w:sz w:val="24"/>
          <w:szCs w:val="24"/>
        </w:rPr>
        <w:t xml:space="preserve">Atendiendo a la designación realizada por la Mesa Directiva de la Comisión Primera Constitucional Permanente de la Cámara de Representantes, y de conformidad con lo dispuesto en el artículo 150 de la Ley 5a de 1992, nos permitimos rendir informe de </w:t>
      </w:r>
      <w:r w:rsidR="00174F25">
        <w:rPr>
          <w:rFonts w:ascii="Arial Narrow" w:eastAsia="Arial Narrow" w:hAnsi="Arial Narrow" w:cs="Arial Narrow"/>
          <w:sz w:val="24"/>
          <w:szCs w:val="24"/>
        </w:rPr>
        <w:t>P</w:t>
      </w:r>
      <w:r w:rsidRPr="007D4A5D">
        <w:rPr>
          <w:rFonts w:ascii="Arial Narrow" w:eastAsia="Arial Narrow" w:hAnsi="Arial Narrow" w:cs="Arial Narrow"/>
          <w:sz w:val="24"/>
          <w:szCs w:val="24"/>
        </w:rPr>
        <w:t xml:space="preserve">onencia </w:t>
      </w:r>
      <w:r w:rsidR="00174F25">
        <w:rPr>
          <w:rFonts w:ascii="Arial Narrow" w:eastAsia="Arial Narrow" w:hAnsi="Arial Narrow" w:cs="Arial Narrow"/>
          <w:sz w:val="24"/>
          <w:szCs w:val="24"/>
        </w:rPr>
        <w:t>Archivo</w:t>
      </w:r>
      <w:r w:rsidRPr="007D4A5D">
        <w:rPr>
          <w:rFonts w:ascii="Arial Narrow" w:eastAsia="Arial Narrow" w:hAnsi="Arial Narrow" w:cs="Arial Narrow"/>
          <w:sz w:val="24"/>
          <w:szCs w:val="24"/>
        </w:rPr>
        <w:t xml:space="preserve"> para </w:t>
      </w:r>
      <w:r w:rsidR="00174F25">
        <w:rPr>
          <w:rFonts w:ascii="Arial Narrow" w:eastAsia="Arial Narrow" w:hAnsi="Arial Narrow" w:cs="Arial Narrow"/>
          <w:sz w:val="24"/>
          <w:szCs w:val="24"/>
        </w:rPr>
        <w:t>P</w:t>
      </w:r>
      <w:r w:rsidRPr="007D4A5D">
        <w:rPr>
          <w:rFonts w:ascii="Arial Narrow" w:eastAsia="Arial Narrow" w:hAnsi="Arial Narrow" w:cs="Arial Narrow"/>
          <w:sz w:val="24"/>
          <w:szCs w:val="24"/>
        </w:rPr>
        <w:t>rimer debate del Proyecto de Ley 587 del 2025 Cámara “Por medio del cual se adopta una reforma estructural al ICETEX y se dictan otras disposiciones”</w:t>
      </w:r>
    </w:p>
    <w:p w14:paraId="0C904530" w14:textId="77777777" w:rsidR="0067007E" w:rsidRPr="007D4A5D" w:rsidRDefault="0067007E" w:rsidP="00174F25">
      <w:pPr>
        <w:spacing w:before="240" w:after="240" w:line="240" w:lineRule="auto"/>
        <w:jc w:val="both"/>
        <w:rPr>
          <w:rFonts w:ascii="Arial Narrow" w:eastAsia="Arial Narrow" w:hAnsi="Arial Narrow" w:cs="Arial Narrow"/>
          <w:sz w:val="24"/>
          <w:szCs w:val="24"/>
        </w:rPr>
      </w:pPr>
    </w:p>
    <w:p w14:paraId="15BAE7D4" w14:textId="77777777" w:rsidR="0067007E" w:rsidRPr="007D4A5D" w:rsidRDefault="00000000" w:rsidP="00174F25">
      <w:pPr>
        <w:spacing w:before="240" w:after="240" w:line="240" w:lineRule="auto"/>
        <w:jc w:val="both"/>
        <w:rPr>
          <w:rFonts w:ascii="Arial Narrow" w:eastAsia="Arial Narrow" w:hAnsi="Arial Narrow" w:cs="Arial Narrow"/>
          <w:sz w:val="24"/>
          <w:szCs w:val="24"/>
        </w:rPr>
      </w:pPr>
      <w:r w:rsidRPr="007D4A5D">
        <w:rPr>
          <w:rFonts w:ascii="Arial Narrow" w:eastAsia="Arial Narrow" w:hAnsi="Arial Narrow" w:cs="Arial Narrow"/>
          <w:sz w:val="24"/>
          <w:szCs w:val="24"/>
        </w:rPr>
        <w:t>Cordialmente,</w:t>
      </w:r>
    </w:p>
    <w:p w14:paraId="3E5C7BFE" w14:textId="77777777" w:rsidR="0067007E" w:rsidRPr="007D4A5D" w:rsidRDefault="0067007E" w:rsidP="00174F25">
      <w:pPr>
        <w:spacing w:after="0" w:line="240" w:lineRule="auto"/>
        <w:jc w:val="both"/>
        <w:rPr>
          <w:rFonts w:ascii="Arial Narrow" w:eastAsia="Arial Narrow" w:hAnsi="Arial Narrow" w:cs="Arial Narrow"/>
          <w:b/>
          <w:sz w:val="24"/>
          <w:szCs w:val="24"/>
        </w:rPr>
      </w:pPr>
    </w:p>
    <w:tbl>
      <w:tblPr>
        <w:tblStyle w:val="a"/>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577605" w:rsidRPr="007D4A5D" w14:paraId="6DE4F3A5" w14:textId="77777777">
        <w:trPr>
          <w:trHeight w:val="2381"/>
          <w:jc w:val="center"/>
        </w:trPr>
        <w:tc>
          <w:tcPr>
            <w:tcW w:w="4697" w:type="dxa"/>
          </w:tcPr>
          <w:p w14:paraId="0DB3031E"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bookmarkStart w:id="0" w:name="_Hlk199853536"/>
          </w:p>
          <w:p w14:paraId="278B43FB"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24BBC2DC"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522F411F"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79E21BDF"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72544381"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25AE91B1"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35180772"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r w:rsidRPr="00C5685A">
              <w:rPr>
                <w:rFonts w:ascii="Arial Narrow" w:eastAsia="Arial Narrow" w:hAnsi="Arial Narrow" w:cs="Arial Narrow"/>
                <w:b/>
                <w:bCs/>
                <w:color w:val="000000"/>
                <w:sz w:val="24"/>
                <w:szCs w:val="24"/>
              </w:rPr>
              <w:t>PEDRO JOSÉ SUÁREZ VACCA</w:t>
            </w:r>
          </w:p>
          <w:p w14:paraId="75E27993"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r w:rsidRPr="00C5685A">
              <w:rPr>
                <w:rFonts w:ascii="Arial Narrow" w:eastAsia="Arial Narrow" w:hAnsi="Arial Narrow" w:cs="Arial Narrow"/>
                <w:b/>
                <w:bCs/>
                <w:color w:val="000000"/>
                <w:sz w:val="24"/>
                <w:szCs w:val="24"/>
              </w:rPr>
              <w:t>Representante a la Cámara</w:t>
            </w:r>
          </w:p>
          <w:p w14:paraId="5A5F6486" w14:textId="77777777" w:rsidR="00577605" w:rsidRPr="007D4A5D" w:rsidRDefault="00577605" w:rsidP="00577605">
            <w:pPr>
              <w:jc w:val="both"/>
              <w:rPr>
                <w:rFonts w:ascii="Arial Narrow" w:eastAsia="Arial Narrow" w:hAnsi="Arial Narrow" w:cs="Arial Narrow"/>
                <w:b/>
                <w:sz w:val="24"/>
                <w:szCs w:val="24"/>
              </w:rPr>
            </w:pPr>
          </w:p>
        </w:tc>
        <w:tc>
          <w:tcPr>
            <w:tcW w:w="4697" w:type="dxa"/>
          </w:tcPr>
          <w:p w14:paraId="33EDCDF8"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450374EA"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30A91C56"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62B0D539"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34F0DE93"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17977257"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280A2B47" w14:textId="77777777" w:rsidR="00577605" w:rsidRPr="00C5685A" w:rsidRDefault="00577605" w:rsidP="00577605">
            <w:pPr>
              <w:pBdr>
                <w:top w:val="nil"/>
                <w:left w:val="nil"/>
                <w:bottom w:val="nil"/>
                <w:right w:val="nil"/>
                <w:between w:val="nil"/>
              </w:pBdr>
              <w:jc w:val="both"/>
              <w:rPr>
                <w:rFonts w:ascii="Arial Narrow" w:eastAsia="Arial Narrow" w:hAnsi="Arial Narrow" w:cs="Arial Narrow"/>
                <w:b/>
                <w:bCs/>
                <w:color w:val="000000"/>
                <w:sz w:val="24"/>
                <w:szCs w:val="24"/>
              </w:rPr>
            </w:pPr>
          </w:p>
          <w:p w14:paraId="0405CF0E" w14:textId="292B1B0F" w:rsidR="00577605" w:rsidRPr="007D4A5D" w:rsidRDefault="00577605" w:rsidP="00577605">
            <w:pPr>
              <w:jc w:val="both"/>
              <w:rPr>
                <w:rFonts w:ascii="Arial Narrow" w:eastAsia="Arial Narrow" w:hAnsi="Arial Narrow" w:cs="Arial Narrow"/>
                <w:b/>
                <w:sz w:val="24"/>
                <w:szCs w:val="24"/>
              </w:rPr>
            </w:pPr>
            <w:r w:rsidRPr="00C5685A">
              <w:rPr>
                <w:rFonts w:ascii="Arial Narrow" w:eastAsia="Arial Narrow" w:hAnsi="Arial Narrow" w:cs="Arial Narrow"/>
                <w:b/>
                <w:bCs/>
                <w:color w:val="000000"/>
                <w:sz w:val="24"/>
                <w:szCs w:val="24"/>
              </w:rPr>
              <w:t>LUIS ALBERTO ALBÁN URBANO Representante a la Cámara</w:t>
            </w:r>
          </w:p>
        </w:tc>
      </w:tr>
      <w:bookmarkEnd w:id="0"/>
    </w:tbl>
    <w:p w14:paraId="54EBE46D" w14:textId="77777777" w:rsidR="0067007E" w:rsidRPr="007D4A5D" w:rsidRDefault="0067007E" w:rsidP="00174F25">
      <w:pPr>
        <w:spacing w:after="0" w:line="240" w:lineRule="auto"/>
        <w:ind w:left="1080"/>
        <w:jc w:val="both"/>
        <w:rPr>
          <w:rFonts w:ascii="Arial Narrow" w:eastAsia="Arial Narrow" w:hAnsi="Arial Narrow" w:cs="Arial Narrow"/>
          <w:sz w:val="24"/>
          <w:szCs w:val="24"/>
        </w:rPr>
      </w:pPr>
    </w:p>
    <w:p w14:paraId="78A708D4" w14:textId="77777777" w:rsidR="0067007E" w:rsidRPr="007D4A5D" w:rsidRDefault="0067007E" w:rsidP="00174F25">
      <w:pPr>
        <w:spacing w:before="240" w:after="240" w:line="240" w:lineRule="auto"/>
        <w:jc w:val="both"/>
        <w:rPr>
          <w:rFonts w:ascii="Arial Narrow" w:eastAsia="Arial Narrow" w:hAnsi="Arial Narrow" w:cs="Arial Narrow"/>
          <w:sz w:val="24"/>
          <w:szCs w:val="24"/>
        </w:rPr>
      </w:pPr>
    </w:p>
    <w:p w14:paraId="3B0AA80C" w14:textId="77777777" w:rsidR="0067007E" w:rsidRPr="007D4A5D" w:rsidRDefault="0067007E" w:rsidP="00174F25">
      <w:pPr>
        <w:spacing w:before="240" w:after="240" w:line="240" w:lineRule="auto"/>
        <w:jc w:val="both"/>
        <w:rPr>
          <w:rFonts w:ascii="Arial Narrow" w:eastAsia="Arial Narrow" w:hAnsi="Arial Narrow" w:cs="Arial Narrow"/>
          <w:sz w:val="24"/>
          <w:szCs w:val="24"/>
        </w:rPr>
      </w:pPr>
    </w:p>
    <w:p w14:paraId="22DDB817"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p>
    <w:p w14:paraId="2EEC1B21" w14:textId="2145A51C" w:rsidR="0067007E" w:rsidRPr="007D4A5D" w:rsidRDefault="00000000"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r w:rsidRPr="007D4A5D">
        <w:rPr>
          <w:rFonts w:ascii="Arial Narrow" w:eastAsia="Arial Narrow" w:hAnsi="Arial Narrow" w:cs="Arial Narrow"/>
          <w:b/>
          <w:sz w:val="24"/>
          <w:szCs w:val="24"/>
        </w:rPr>
        <w:t xml:space="preserve">INFORME DE PONENCIA </w:t>
      </w:r>
      <w:r w:rsidR="00174F25">
        <w:rPr>
          <w:rFonts w:ascii="Arial Narrow" w:eastAsia="Arial Narrow" w:hAnsi="Arial Narrow" w:cs="Arial Narrow"/>
          <w:b/>
          <w:sz w:val="24"/>
          <w:szCs w:val="24"/>
        </w:rPr>
        <w:t>ARCHIVO</w:t>
      </w:r>
      <w:r w:rsidRPr="007D4A5D">
        <w:rPr>
          <w:rFonts w:ascii="Arial Narrow" w:eastAsia="Arial Narrow" w:hAnsi="Arial Narrow" w:cs="Arial Narrow"/>
          <w:b/>
          <w:sz w:val="24"/>
          <w:szCs w:val="24"/>
        </w:rPr>
        <w:t xml:space="preserve"> PARA PRIMER DEBATE DEL PROYECTO DE LEY 587 DEL 2025 CÁMARA </w:t>
      </w:r>
      <w:r w:rsidR="00174F25">
        <w:rPr>
          <w:rFonts w:ascii="Arial Narrow" w:eastAsia="Arial Narrow" w:hAnsi="Arial Narrow" w:cs="Arial Narrow"/>
          <w:b/>
          <w:sz w:val="24"/>
          <w:szCs w:val="24"/>
        </w:rPr>
        <w:t>“</w:t>
      </w:r>
      <w:r w:rsidRPr="007D4A5D">
        <w:rPr>
          <w:rFonts w:ascii="Arial Narrow" w:eastAsia="Arial Narrow" w:hAnsi="Arial Narrow" w:cs="Arial Narrow"/>
          <w:b/>
          <w:sz w:val="24"/>
          <w:szCs w:val="24"/>
        </w:rPr>
        <w:t>POR MEDIO DEL CUAL SE ADOPTA UNA REFORMA ESTRUCTURAL AL ICETEX Y SE DICTAN OTRAS DISPOSICIONES</w:t>
      </w:r>
      <w:r w:rsidR="00174F25">
        <w:rPr>
          <w:rFonts w:ascii="Arial Narrow" w:eastAsia="Arial Narrow" w:hAnsi="Arial Narrow" w:cs="Arial Narrow"/>
          <w:b/>
          <w:sz w:val="24"/>
          <w:szCs w:val="24"/>
        </w:rPr>
        <w:t>”</w:t>
      </w:r>
      <w:r w:rsidRPr="007D4A5D">
        <w:rPr>
          <w:rFonts w:ascii="Arial Narrow" w:eastAsia="Arial Narrow" w:hAnsi="Arial Narrow" w:cs="Arial Narrow"/>
          <w:b/>
          <w:sz w:val="24"/>
          <w:szCs w:val="24"/>
        </w:rPr>
        <w:t>.</w:t>
      </w:r>
    </w:p>
    <w:p w14:paraId="32D9937C"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p>
    <w:p w14:paraId="5FFBD55C" w14:textId="77777777" w:rsidR="0067007E" w:rsidRDefault="00000000"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r w:rsidRPr="007D4A5D">
        <w:rPr>
          <w:rFonts w:ascii="Arial Narrow" w:eastAsia="Arial Narrow" w:hAnsi="Arial Narrow" w:cs="Arial Narrow"/>
          <w:b/>
          <w:sz w:val="24"/>
          <w:szCs w:val="24"/>
        </w:rPr>
        <w:t>EXPOSICIÓN DE MOTIVOS</w:t>
      </w:r>
    </w:p>
    <w:p w14:paraId="4A5FDEA7" w14:textId="77777777" w:rsidR="00A821A0" w:rsidRPr="007D4A5D" w:rsidRDefault="00A821A0"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p>
    <w:p w14:paraId="0935C3AC" w14:textId="6EA05C0C" w:rsidR="002F06C8" w:rsidRDefault="00A821A0"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r w:rsidRPr="00A821A0">
        <w:rPr>
          <w:rFonts w:ascii="Arial Narrow" w:eastAsia="Arial Narrow" w:hAnsi="Arial Narrow" w:cs="Arial Narrow"/>
          <w:bCs/>
          <w:sz w:val="24"/>
          <w:szCs w:val="24"/>
        </w:rPr>
        <w:t>La presente intervención se realiza con el propósito de presentar argumentos y fundamentos que respaldan su archivo, basándose en el análisis exhaustivo que se llevó a cabo sobre la iniciativa propuesta, en concordancia con el marco constitucional y legal del ordenamiento jurídico colombiano, así como en la rigurosidad requerida para este tipo de procedimientos. Por lo tanto, en los siguientes apartados se hará un repaso del proyecto de ley y se expondrán las razones por las cuales se considera inconveniente su aprobación</w:t>
      </w:r>
      <w:r w:rsidRPr="00A821A0">
        <w:rPr>
          <w:rFonts w:ascii="Arial Narrow" w:eastAsia="Arial Narrow" w:hAnsi="Arial Narrow" w:cs="Arial Narrow"/>
          <w:b/>
          <w:sz w:val="24"/>
          <w:szCs w:val="24"/>
        </w:rPr>
        <w:t>.</w:t>
      </w:r>
      <w:r>
        <w:rPr>
          <w:rFonts w:ascii="Arial Narrow" w:eastAsia="Arial Narrow" w:hAnsi="Arial Narrow" w:cs="Arial Narrow"/>
          <w:b/>
          <w:sz w:val="24"/>
          <w:szCs w:val="24"/>
        </w:rPr>
        <w:t xml:space="preserve"> </w:t>
      </w:r>
      <w:r w:rsidRPr="00A821A0">
        <w:rPr>
          <w:rFonts w:ascii="Arial Narrow" w:eastAsia="Arial Narrow" w:hAnsi="Arial Narrow" w:cs="Arial Narrow"/>
          <w:bCs/>
          <w:sz w:val="24"/>
          <w:szCs w:val="24"/>
        </w:rPr>
        <w:t>En consecuencia, el informe de ponencia de ARCHIVO se desarrollará conforme con la siguiente estructura:</w:t>
      </w:r>
      <w:r>
        <w:rPr>
          <w:rFonts w:ascii="Arial Narrow" w:eastAsia="Arial Narrow" w:hAnsi="Arial Narrow" w:cs="Arial Narrow"/>
          <w:b/>
          <w:sz w:val="24"/>
          <w:szCs w:val="24"/>
        </w:rPr>
        <w:t xml:space="preserve"> </w:t>
      </w:r>
    </w:p>
    <w:p w14:paraId="6DDBEEE8" w14:textId="77777777" w:rsidR="006C2D00" w:rsidRDefault="006C2D00"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p>
    <w:p w14:paraId="03B8F3FF" w14:textId="240B5210" w:rsidR="002F06C8" w:rsidRPr="006C2D00" w:rsidRDefault="002F06C8" w:rsidP="00174F25">
      <w:pPr>
        <w:pStyle w:val="Prrafodelista"/>
        <w:numPr>
          <w:ilvl w:val="0"/>
          <w:numId w:val="4"/>
        </w:numPr>
        <w:pBdr>
          <w:top w:val="nil"/>
          <w:left w:val="nil"/>
          <w:bottom w:val="nil"/>
          <w:right w:val="nil"/>
          <w:between w:val="nil"/>
        </w:pBdr>
        <w:spacing w:line="240" w:lineRule="auto"/>
        <w:jc w:val="both"/>
        <w:rPr>
          <w:rFonts w:ascii="Arial Narrow" w:eastAsia="Arial Narrow" w:hAnsi="Arial Narrow" w:cs="Arial Narrow"/>
          <w:bCs/>
          <w:sz w:val="24"/>
          <w:szCs w:val="24"/>
        </w:rPr>
      </w:pPr>
      <w:r w:rsidRPr="006C2D00">
        <w:rPr>
          <w:rFonts w:ascii="Arial Narrow" w:eastAsia="Arial Narrow" w:hAnsi="Arial Narrow" w:cs="Arial Narrow"/>
          <w:bCs/>
          <w:sz w:val="24"/>
          <w:szCs w:val="24"/>
        </w:rPr>
        <w:t>Objeto del Proyecto de Ley</w:t>
      </w:r>
    </w:p>
    <w:p w14:paraId="080CEDA3" w14:textId="1F77533B" w:rsidR="002F06C8" w:rsidRPr="006C2D00" w:rsidRDefault="002F06C8" w:rsidP="00174F25">
      <w:pPr>
        <w:pStyle w:val="Prrafodelista"/>
        <w:numPr>
          <w:ilvl w:val="0"/>
          <w:numId w:val="4"/>
        </w:numPr>
        <w:pBdr>
          <w:top w:val="nil"/>
          <w:left w:val="nil"/>
          <w:bottom w:val="nil"/>
          <w:right w:val="nil"/>
          <w:between w:val="nil"/>
        </w:pBdr>
        <w:spacing w:line="240" w:lineRule="auto"/>
        <w:jc w:val="both"/>
        <w:rPr>
          <w:rFonts w:ascii="Arial Narrow" w:eastAsia="Arial Narrow" w:hAnsi="Arial Narrow" w:cs="Arial Narrow"/>
          <w:bCs/>
          <w:sz w:val="24"/>
          <w:szCs w:val="24"/>
        </w:rPr>
      </w:pPr>
      <w:r w:rsidRPr="006C2D00">
        <w:rPr>
          <w:rFonts w:ascii="Arial Narrow" w:eastAsia="Arial Narrow" w:hAnsi="Arial Narrow" w:cs="Arial Narrow"/>
          <w:bCs/>
          <w:sz w:val="24"/>
          <w:szCs w:val="24"/>
        </w:rPr>
        <w:t>Antecedentes y trámite legislativo</w:t>
      </w:r>
    </w:p>
    <w:p w14:paraId="2A0AA90E" w14:textId="36820D3B" w:rsidR="002F06C8" w:rsidRPr="006C2D00" w:rsidRDefault="002F06C8" w:rsidP="00174F25">
      <w:pPr>
        <w:pStyle w:val="Prrafodelista"/>
        <w:numPr>
          <w:ilvl w:val="0"/>
          <w:numId w:val="4"/>
        </w:numPr>
        <w:pBdr>
          <w:top w:val="nil"/>
          <w:left w:val="nil"/>
          <w:bottom w:val="nil"/>
          <w:right w:val="nil"/>
          <w:between w:val="nil"/>
        </w:pBdr>
        <w:spacing w:line="240" w:lineRule="auto"/>
        <w:jc w:val="both"/>
        <w:rPr>
          <w:rFonts w:ascii="Arial Narrow" w:eastAsia="Arial Narrow" w:hAnsi="Arial Narrow" w:cs="Arial Narrow"/>
          <w:bCs/>
          <w:sz w:val="24"/>
          <w:szCs w:val="24"/>
        </w:rPr>
      </w:pPr>
      <w:r w:rsidRPr="006C2D00">
        <w:rPr>
          <w:rFonts w:ascii="Arial Narrow" w:eastAsia="Arial Narrow" w:hAnsi="Arial Narrow" w:cs="Arial Narrow"/>
          <w:bCs/>
          <w:sz w:val="24"/>
          <w:szCs w:val="24"/>
        </w:rPr>
        <w:t>Consideraciones sobre las designaciones en el presupuesto general de la nación y la naturaleza especial del ICETEX</w:t>
      </w:r>
    </w:p>
    <w:p w14:paraId="0B06F053" w14:textId="38F05FD3" w:rsidR="002F06C8" w:rsidRPr="006C2D00" w:rsidRDefault="002F06C8" w:rsidP="00174F25">
      <w:pPr>
        <w:pStyle w:val="Prrafodelista"/>
        <w:numPr>
          <w:ilvl w:val="0"/>
          <w:numId w:val="4"/>
        </w:numPr>
        <w:spacing w:line="240" w:lineRule="auto"/>
        <w:jc w:val="both"/>
        <w:rPr>
          <w:rFonts w:ascii="Arial Narrow" w:eastAsia="Arial Narrow" w:hAnsi="Arial Narrow" w:cs="Arial Narrow"/>
          <w:bCs/>
          <w:sz w:val="24"/>
          <w:szCs w:val="24"/>
        </w:rPr>
      </w:pPr>
      <w:r w:rsidRPr="006C2D00">
        <w:rPr>
          <w:rFonts w:ascii="Arial Narrow" w:eastAsia="Arial Narrow" w:hAnsi="Arial Narrow" w:cs="Arial Narrow"/>
          <w:bCs/>
          <w:sz w:val="24"/>
          <w:szCs w:val="24"/>
        </w:rPr>
        <w:t>Estado actual del crédito educativo: financiamiento, percepción de beneficiarios y estrategias de sostenibilidad del ICETEX</w:t>
      </w:r>
    </w:p>
    <w:p w14:paraId="6041A7E6" w14:textId="73B04CCC" w:rsidR="002F06C8" w:rsidRPr="006C2D00" w:rsidRDefault="002F06C8" w:rsidP="00174F25">
      <w:pPr>
        <w:pStyle w:val="Prrafodelista"/>
        <w:numPr>
          <w:ilvl w:val="0"/>
          <w:numId w:val="4"/>
        </w:numPr>
        <w:spacing w:line="240" w:lineRule="auto"/>
        <w:jc w:val="both"/>
        <w:rPr>
          <w:rFonts w:ascii="Arial Narrow" w:eastAsia="Arial Narrow" w:hAnsi="Arial Narrow" w:cs="Arial Narrow"/>
          <w:bCs/>
          <w:sz w:val="24"/>
          <w:szCs w:val="24"/>
        </w:rPr>
      </w:pPr>
      <w:r w:rsidRPr="006C2D00">
        <w:rPr>
          <w:rFonts w:ascii="Arial Narrow" w:eastAsia="Arial Narrow" w:hAnsi="Arial Narrow" w:cs="Arial Narrow"/>
          <w:bCs/>
          <w:sz w:val="24"/>
          <w:szCs w:val="24"/>
        </w:rPr>
        <w:t>Competencia de la Comisión Primera sobre adiciones, modificaciones y temas alrededor del Presupuesto General de la Nación.</w:t>
      </w:r>
    </w:p>
    <w:p w14:paraId="25DC8E58" w14:textId="064D5411" w:rsidR="006C2D00" w:rsidRPr="006C2D00" w:rsidRDefault="002F06C8" w:rsidP="00174F25">
      <w:pPr>
        <w:pStyle w:val="Prrafodelista"/>
        <w:numPr>
          <w:ilvl w:val="0"/>
          <w:numId w:val="4"/>
        </w:numPr>
        <w:spacing w:line="240" w:lineRule="auto"/>
        <w:jc w:val="both"/>
        <w:rPr>
          <w:rFonts w:ascii="Arial Narrow" w:eastAsia="Arial Narrow" w:hAnsi="Arial Narrow" w:cs="Arial Narrow"/>
          <w:bCs/>
          <w:sz w:val="24"/>
          <w:szCs w:val="24"/>
        </w:rPr>
      </w:pPr>
      <w:r w:rsidRPr="006C2D00">
        <w:rPr>
          <w:rFonts w:ascii="Arial Narrow" w:eastAsia="Arial Narrow" w:hAnsi="Arial Narrow" w:cs="Arial Narrow"/>
          <w:bCs/>
          <w:sz w:val="24"/>
          <w:szCs w:val="24"/>
        </w:rPr>
        <w:t>S</w:t>
      </w:r>
      <w:r w:rsidRPr="006C2D00">
        <w:rPr>
          <w:rFonts w:ascii="Arial Narrow" w:eastAsia="Arial Narrow" w:hAnsi="Arial Narrow" w:cs="Arial Narrow"/>
          <w:bCs/>
          <w:sz w:val="24"/>
          <w:szCs w:val="24"/>
        </w:rPr>
        <w:t>obre el pago contingente al ingreso y la política de condonaciones</w:t>
      </w:r>
    </w:p>
    <w:p w14:paraId="194D9C70" w14:textId="23074277" w:rsidR="006C2D00" w:rsidRPr="006C2D00" w:rsidRDefault="006C2D00" w:rsidP="00174F25">
      <w:pPr>
        <w:pStyle w:val="Prrafodelista"/>
        <w:numPr>
          <w:ilvl w:val="0"/>
          <w:numId w:val="4"/>
        </w:numPr>
        <w:pBdr>
          <w:top w:val="nil"/>
          <w:left w:val="nil"/>
          <w:bottom w:val="nil"/>
          <w:right w:val="nil"/>
          <w:between w:val="nil"/>
        </w:pBdr>
        <w:spacing w:line="240" w:lineRule="auto"/>
        <w:jc w:val="both"/>
        <w:rPr>
          <w:rFonts w:ascii="Arial Narrow" w:eastAsia="Arial Narrow" w:hAnsi="Arial Narrow" w:cs="Arial Narrow"/>
          <w:bCs/>
          <w:color w:val="000000"/>
          <w:sz w:val="24"/>
          <w:szCs w:val="24"/>
        </w:rPr>
      </w:pPr>
      <w:r w:rsidRPr="006C2D00">
        <w:rPr>
          <w:rFonts w:ascii="Arial Narrow" w:eastAsia="Arial Narrow" w:hAnsi="Arial Narrow" w:cs="Arial Narrow"/>
          <w:bCs/>
          <w:color w:val="000000"/>
          <w:sz w:val="24"/>
          <w:szCs w:val="24"/>
        </w:rPr>
        <w:t>R</w:t>
      </w:r>
      <w:r w:rsidRPr="006C2D00">
        <w:rPr>
          <w:rFonts w:ascii="Arial Narrow" w:eastAsia="Arial Narrow" w:hAnsi="Arial Narrow" w:cs="Arial Narrow"/>
          <w:bCs/>
          <w:color w:val="000000"/>
          <w:sz w:val="24"/>
          <w:szCs w:val="24"/>
        </w:rPr>
        <w:t>ol de la superintendencia financiera en la supervisión del ICETEX</w:t>
      </w:r>
    </w:p>
    <w:p w14:paraId="62872E10" w14:textId="1010203C" w:rsidR="006C2D00" w:rsidRDefault="006C2D00" w:rsidP="00174F25">
      <w:pPr>
        <w:pStyle w:val="Prrafodelista"/>
        <w:numPr>
          <w:ilvl w:val="0"/>
          <w:numId w:val="4"/>
        </w:numPr>
        <w:spacing w:line="240" w:lineRule="auto"/>
        <w:jc w:val="both"/>
        <w:rPr>
          <w:rFonts w:ascii="Arial Narrow" w:eastAsia="Arial Narrow" w:hAnsi="Arial Narrow" w:cs="Arial Narrow"/>
          <w:bCs/>
          <w:sz w:val="24"/>
          <w:szCs w:val="24"/>
        </w:rPr>
      </w:pPr>
      <w:r w:rsidRPr="006C2D00">
        <w:rPr>
          <w:rFonts w:ascii="Arial Narrow" w:eastAsia="Arial Narrow" w:hAnsi="Arial Narrow" w:cs="Arial Narrow"/>
          <w:bCs/>
          <w:sz w:val="24"/>
          <w:szCs w:val="24"/>
        </w:rPr>
        <w:t>Necesidad de iniciativa gubernamental para reformar el ICETEX</w:t>
      </w:r>
    </w:p>
    <w:p w14:paraId="146A0C67" w14:textId="115A3214" w:rsidR="006C2D00" w:rsidRPr="006C2D00" w:rsidRDefault="006C2D00" w:rsidP="00174F25">
      <w:pPr>
        <w:pStyle w:val="Prrafodelista"/>
        <w:numPr>
          <w:ilvl w:val="0"/>
          <w:numId w:val="4"/>
        </w:numPr>
        <w:spacing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Relación de conflicto de interés</w:t>
      </w:r>
    </w:p>
    <w:p w14:paraId="1075B2AF" w14:textId="0DC5D7CA" w:rsidR="002F06C8" w:rsidRPr="006C2D00" w:rsidRDefault="006C2D00" w:rsidP="00174F25">
      <w:pPr>
        <w:pStyle w:val="Prrafodelista"/>
        <w:numPr>
          <w:ilvl w:val="0"/>
          <w:numId w:val="4"/>
        </w:numPr>
        <w:pBdr>
          <w:top w:val="nil"/>
          <w:left w:val="nil"/>
          <w:bottom w:val="nil"/>
          <w:right w:val="nil"/>
          <w:between w:val="nil"/>
        </w:pBdr>
        <w:spacing w:line="240" w:lineRule="auto"/>
        <w:jc w:val="both"/>
        <w:rPr>
          <w:rFonts w:ascii="Arial Narrow" w:eastAsia="Arial Narrow" w:hAnsi="Arial Narrow" w:cs="Arial Narrow"/>
          <w:bCs/>
          <w:sz w:val="24"/>
          <w:szCs w:val="24"/>
        </w:rPr>
      </w:pPr>
      <w:r w:rsidRPr="006C2D00">
        <w:rPr>
          <w:rFonts w:ascii="Arial Narrow" w:eastAsia="Arial Narrow" w:hAnsi="Arial Narrow" w:cs="Arial Narrow"/>
          <w:bCs/>
          <w:sz w:val="24"/>
          <w:szCs w:val="24"/>
        </w:rPr>
        <w:t>Impacto Fiscal</w:t>
      </w:r>
    </w:p>
    <w:p w14:paraId="22F8789D" w14:textId="02BA699C" w:rsidR="006C2D00" w:rsidRPr="006C2D00" w:rsidRDefault="006C2D00" w:rsidP="00174F25">
      <w:pPr>
        <w:pStyle w:val="Prrafodelista"/>
        <w:numPr>
          <w:ilvl w:val="0"/>
          <w:numId w:val="4"/>
        </w:numPr>
        <w:pBdr>
          <w:top w:val="nil"/>
          <w:left w:val="nil"/>
          <w:bottom w:val="nil"/>
          <w:right w:val="nil"/>
          <w:between w:val="nil"/>
        </w:pBdr>
        <w:spacing w:line="240" w:lineRule="auto"/>
        <w:jc w:val="both"/>
        <w:rPr>
          <w:rFonts w:ascii="Arial Narrow" w:eastAsia="Arial Narrow" w:hAnsi="Arial Narrow" w:cs="Arial Narrow"/>
          <w:bCs/>
          <w:sz w:val="24"/>
          <w:szCs w:val="24"/>
        </w:rPr>
      </w:pPr>
      <w:r w:rsidRPr="006C2D00">
        <w:rPr>
          <w:rFonts w:ascii="Arial Narrow" w:eastAsia="Arial Narrow" w:hAnsi="Arial Narrow" w:cs="Arial Narrow"/>
          <w:bCs/>
          <w:sz w:val="24"/>
          <w:szCs w:val="24"/>
        </w:rPr>
        <w:t>Proposición</w:t>
      </w:r>
    </w:p>
    <w:p w14:paraId="6D229C8D" w14:textId="77777777" w:rsidR="00A821A0" w:rsidRDefault="00A821A0"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p>
    <w:p w14:paraId="6C8F5DB1" w14:textId="2091294A" w:rsidR="00A821A0" w:rsidRPr="002F06C8" w:rsidRDefault="00A821A0"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sz w:val="24"/>
          <w:szCs w:val="24"/>
        </w:rPr>
      </w:pPr>
      <w:r w:rsidRPr="002F06C8">
        <w:rPr>
          <w:rFonts w:ascii="Arial Narrow" w:eastAsia="Arial Narrow" w:hAnsi="Arial Narrow" w:cs="Arial Narrow"/>
          <w:b/>
          <w:sz w:val="24"/>
          <w:szCs w:val="24"/>
        </w:rPr>
        <w:t>OBJETO DEL PROYECTO</w:t>
      </w:r>
    </w:p>
    <w:p w14:paraId="145EC0B9" w14:textId="77777777" w:rsidR="00A821A0" w:rsidRDefault="00A821A0"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p>
    <w:p w14:paraId="364E1222" w14:textId="32FE008E" w:rsidR="00A821A0" w:rsidRPr="00A821A0" w:rsidRDefault="00A821A0" w:rsidP="00174F25">
      <w:pPr>
        <w:pBdr>
          <w:top w:val="nil"/>
          <w:left w:val="nil"/>
          <w:bottom w:val="nil"/>
          <w:right w:val="nil"/>
          <w:between w:val="nil"/>
        </w:pBdr>
        <w:spacing w:after="0" w:line="240" w:lineRule="auto"/>
        <w:jc w:val="both"/>
        <w:rPr>
          <w:rFonts w:ascii="Arial Narrow" w:eastAsia="Arial Narrow" w:hAnsi="Arial Narrow" w:cs="Arial Narrow"/>
          <w:bCs/>
          <w:sz w:val="24"/>
          <w:szCs w:val="24"/>
        </w:rPr>
      </w:pPr>
      <w:r w:rsidRPr="00A821A0">
        <w:rPr>
          <w:rFonts w:ascii="Arial Narrow" w:eastAsia="Arial Narrow" w:hAnsi="Arial Narrow" w:cs="Arial Narrow"/>
          <w:bCs/>
          <w:sz w:val="24"/>
          <w:szCs w:val="24"/>
        </w:rPr>
        <w:t>La iniciativa tiene por objeto transformar y modernizar el ICETEX, fortaleciendo</w:t>
      </w:r>
      <w:r w:rsidRPr="00A821A0">
        <w:rPr>
          <w:rFonts w:ascii="Arial Narrow" w:eastAsia="Arial Narrow" w:hAnsi="Arial Narrow" w:cs="Arial Narrow"/>
          <w:bCs/>
          <w:sz w:val="24"/>
          <w:szCs w:val="24"/>
        </w:rPr>
        <w:t xml:space="preserve"> </w:t>
      </w:r>
      <w:r w:rsidRPr="00A821A0">
        <w:rPr>
          <w:rFonts w:ascii="Arial Narrow" w:eastAsia="Arial Narrow" w:hAnsi="Arial Narrow" w:cs="Arial Narrow"/>
          <w:bCs/>
          <w:sz w:val="24"/>
          <w:szCs w:val="24"/>
        </w:rPr>
        <w:t>sus procesos operativos y administrativos, fomentando condiciones de crédito</w:t>
      </w:r>
      <w:r w:rsidRPr="00A821A0">
        <w:rPr>
          <w:rFonts w:ascii="Arial Narrow" w:eastAsia="Arial Narrow" w:hAnsi="Arial Narrow" w:cs="Arial Narrow"/>
          <w:bCs/>
          <w:sz w:val="24"/>
          <w:szCs w:val="24"/>
        </w:rPr>
        <w:t xml:space="preserve"> </w:t>
      </w:r>
      <w:r w:rsidRPr="00A821A0">
        <w:rPr>
          <w:rFonts w:ascii="Arial Narrow" w:eastAsia="Arial Narrow" w:hAnsi="Arial Narrow" w:cs="Arial Narrow"/>
          <w:bCs/>
          <w:sz w:val="24"/>
          <w:szCs w:val="24"/>
        </w:rPr>
        <w:t>educativo social justas y flexibles y propendiendo por responder a las</w:t>
      </w:r>
      <w:r w:rsidRPr="00A821A0">
        <w:rPr>
          <w:rFonts w:ascii="Arial Narrow" w:eastAsia="Arial Narrow" w:hAnsi="Arial Narrow" w:cs="Arial Narrow"/>
          <w:bCs/>
          <w:sz w:val="24"/>
          <w:szCs w:val="24"/>
        </w:rPr>
        <w:t xml:space="preserve"> </w:t>
      </w:r>
      <w:r w:rsidRPr="00A821A0">
        <w:rPr>
          <w:rFonts w:ascii="Arial Narrow" w:eastAsia="Arial Narrow" w:hAnsi="Arial Narrow" w:cs="Arial Narrow"/>
          <w:bCs/>
          <w:sz w:val="24"/>
          <w:szCs w:val="24"/>
        </w:rPr>
        <w:t>necesidades de los usuarios de la entidad.</w:t>
      </w:r>
    </w:p>
    <w:p w14:paraId="1885B435" w14:textId="77777777" w:rsidR="00A821A0" w:rsidRDefault="00A821A0" w:rsidP="00174F25">
      <w:pPr>
        <w:pBdr>
          <w:top w:val="nil"/>
          <w:left w:val="nil"/>
          <w:bottom w:val="nil"/>
          <w:right w:val="nil"/>
          <w:between w:val="nil"/>
        </w:pBdr>
        <w:spacing w:after="0" w:line="240" w:lineRule="auto"/>
        <w:jc w:val="both"/>
        <w:rPr>
          <w:rFonts w:ascii="Arial Narrow" w:eastAsia="Arial Narrow" w:hAnsi="Arial Narrow" w:cs="Arial Narrow"/>
          <w:bCs/>
          <w:sz w:val="24"/>
          <w:szCs w:val="24"/>
        </w:rPr>
      </w:pPr>
    </w:p>
    <w:p w14:paraId="188CC70E" w14:textId="77777777" w:rsidR="00174F25" w:rsidRDefault="00174F25" w:rsidP="00174F25">
      <w:pPr>
        <w:pBdr>
          <w:top w:val="nil"/>
          <w:left w:val="nil"/>
          <w:bottom w:val="nil"/>
          <w:right w:val="nil"/>
          <w:between w:val="nil"/>
        </w:pBdr>
        <w:spacing w:after="0" w:line="240" w:lineRule="auto"/>
        <w:jc w:val="both"/>
        <w:rPr>
          <w:rFonts w:ascii="Arial Narrow" w:eastAsia="Arial Narrow" w:hAnsi="Arial Narrow" w:cs="Arial Narrow"/>
          <w:bCs/>
          <w:sz w:val="24"/>
          <w:szCs w:val="24"/>
        </w:rPr>
      </w:pPr>
    </w:p>
    <w:p w14:paraId="538DBAD5" w14:textId="77777777" w:rsidR="00174F25" w:rsidRDefault="00174F25" w:rsidP="00174F25">
      <w:pPr>
        <w:pBdr>
          <w:top w:val="nil"/>
          <w:left w:val="nil"/>
          <w:bottom w:val="nil"/>
          <w:right w:val="nil"/>
          <w:between w:val="nil"/>
        </w:pBdr>
        <w:spacing w:after="0" w:line="240" w:lineRule="auto"/>
        <w:jc w:val="both"/>
        <w:rPr>
          <w:rFonts w:ascii="Arial Narrow" w:eastAsia="Arial Narrow" w:hAnsi="Arial Narrow" w:cs="Arial Narrow"/>
          <w:bCs/>
          <w:sz w:val="24"/>
          <w:szCs w:val="24"/>
        </w:rPr>
      </w:pPr>
    </w:p>
    <w:p w14:paraId="23EA7D1A" w14:textId="77777777" w:rsidR="00174F25" w:rsidRPr="00A821A0" w:rsidRDefault="00174F25" w:rsidP="00174F25">
      <w:pPr>
        <w:pBdr>
          <w:top w:val="nil"/>
          <w:left w:val="nil"/>
          <w:bottom w:val="nil"/>
          <w:right w:val="nil"/>
          <w:between w:val="nil"/>
        </w:pBdr>
        <w:spacing w:after="0" w:line="240" w:lineRule="auto"/>
        <w:jc w:val="both"/>
        <w:rPr>
          <w:rFonts w:ascii="Arial Narrow" w:eastAsia="Arial Narrow" w:hAnsi="Arial Narrow" w:cs="Arial Narrow"/>
          <w:bCs/>
          <w:sz w:val="24"/>
          <w:szCs w:val="24"/>
        </w:rPr>
      </w:pPr>
    </w:p>
    <w:p w14:paraId="1EE82DDF" w14:textId="4EE83015" w:rsidR="0067007E" w:rsidRPr="002F06C8" w:rsidRDefault="00000000"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sz w:val="24"/>
          <w:szCs w:val="24"/>
        </w:rPr>
      </w:pPr>
      <w:r w:rsidRPr="002F06C8">
        <w:rPr>
          <w:rFonts w:ascii="Arial Narrow" w:eastAsia="Arial Narrow" w:hAnsi="Arial Narrow" w:cs="Arial Narrow"/>
          <w:b/>
          <w:sz w:val="24"/>
          <w:szCs w:val="24"/>
        </w:rPr>
        <w:t>ANTECEDENTES Y TRÁMITE LEGISLATIVO</w:t>
      </w:r>
    </w:p>
    <w:p w14:paraId="4C348F9D"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p>
    <w:p w14:paraId="17765E71" w14:textId="7051D99D" w:rsidR="0067007E" w:rsidRPr="00577605" w:rsidRDefault="00000000" w:rsidP="00174F25">
      <w:pPr>
        <w:pBdr>
          <w:top w:val="nil"/>
          <w:left w:val="nil"/>
          <w:bottom w:val="nil"/>
          <w:right w:val="nil"/>
          <w:between w:val="nil"/>
        </w:pBdr>
        <w:spacing w:after="0" w:line="240" w:lineRule="auto"/>
        <w:jc w:val="both"/>
        <w:rPr>
          <w:rFonts w:ascii="Arial Narrow" w:eastAsia="Arial Narrow" w:hAnsi="Arial Narrow" w:cs="Arial Narrow"/>
          <w:b/>
          <w:sz w:val="24"/>
          <w:szCs w:val="24"/>
        </w:rPr>
      </w:pPr>
      <w:r w:rsidRPr="00577605">
        <w:rPr>
          <w:rFonts w:ascii="Arial Narrow" w:eastAsia="Arial Narrow" w:hAnsi="Arial Narrow" w:cs="Arial Narrow"/>
          <w:sz w:val="24"/>
          <w:szCs w:val="24"/>
        </w:rPr>
        <w:t>El Proyecto de Ley fue radicado en la Secretaría General de la Cámara de Representantes de la República el 4 de marzo del 2025 por los congresistas H.S.</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 xml:space="preserve">Angélica </w:t>
      </w:r>
      <w:r w:rsidR="006D23C0" w:rsidRPr="00577605">
        <w:rPr>
          <w:rFonts w:ascii="Arial Narrow" w:eastAsia="Arial Narrow" w:hAnsi="Arial Narrow" w:cs="Arial Narrow"/>
          <w:sz w:val="24"/>
          <w:szCs w:val="24"/>
        </w:rPr>
        <w:t>Lisbeth</w:t>
      </w:r>
      <w:r w:rsidRPr="00577605">
        <w:rPr>
          <w:rFonts w:ascii="Arial Narrow" w:eastAsia="Arial Narrow" w:hAnsi="Arial Narrow" w:cs="Arial Narrow"/>
          <w:sz w:val="24"/>
          <w:szCs w:val="24"/>
        </w:rPr>
        <w:t xml:space="preserve"> </w:t>
      </w:r>
      <w:r w:rsidR="00577605" w:rsidRPr="00577605">
        <w:rPr>
          <w:rFonts w:ascii="Arial Narrow" w:eastAsia="Arial Narrow" w:hAnsi="Arial Narrow" w:cs="Arial Narrow"/>
          <w:sz w:val="24"/>
          <w:szCs w:val="24"/>
        </w:rPr>
        <w:t>L</w:t>
      </w:r>
      <w:r w:rsidRPr="00577605">
        <w:rPr>
          <w:rFonts w:ascii="Arial Narrow" w:eastAsia="Arial Narrow" w:hAnsi="Arial Narrow" w:cs="Arial Narrow"/>
          <w:sz w:val="24"/>
          <w:szCs w:val="24"/>
        </w:rPr>
        <w:t xml:space="preserve">ozano </w:t>
      </w:r>
      <w:r w:rsidR="00577605" w:rsidRPr="00577605">
        <w:rPr>
          <w:rFonts w:ascii="Arial Narrow" w:eastAsia="Arial Narrow" w:hAnsi="Arial Narrow" w:cs="Arial Narrow"/>
          <w:sz w:val="24"/>
          <w:szCs w:val="24"/>
        </w:rPr>
        <w:t>C</w:t>
      </w:r>
      <w:r w:rsidRPr="00577605">
        <w:rPr>
          <w:rFonts w:ascii="Arial Narrow" w:eastAsia="Arial Narrow" w:hAnsi="Arial Narrow" w:cs="Arial Narrow"/>
          <w:sz w:val="24"/>
          <w:szCs w:val="24"/>
        </w:rPr>
        <w:t>orrea, H.S.</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Efraín José Cepeda Sarabia, H.S.</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Paloma Susana Valencia Laserna, H.S.</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 xml:space="preserve">Miguel Ángel Pinto </w:t>
      </w:r>
      <w:r w:rsidRPr="00577605">
        <w:rPr>
          <w:rFonts w:ascii="Arial Narrow" w:eastAsia="Arial Narrow" w:hAnsi="Arial Narrow" w:cs="Arial Narrow"/>
          <w:sz w:val="24"/>
          <w:szCs w:val="24"/>
        </w:rPr>
        <w:lastRenderedPageBreak/>
        <w:t>Hernández, H.S.</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Germán Alcides Blanco Álvarez, H.S.</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Alejandro Carlos Chacón Camargo, H.S.</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Honorio Miguel Henríquez Pinedo, H.S.</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Norma Hurtado Sánchez, H.S.</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Guido Echeverri Piedrahita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Catherine Juvinao Clavijo,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Juan Sebastián Gómez Gonzáles,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Daniel Carvalho Mejía ,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Alejandro García Ríos,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Cristian Danilo Avendaño Fino,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Juan Daniel Peñuela Calvache,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Julia Miranda Londoño,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Piedad Correal Rubiano,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Carolina Giraldo Botero ,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Delcy Esperanza Isaza Buenaventura, H.R.</w:t>
      </w:r>
      <w:r w:rsidR="006D23C0" w:rsidRPr="00577605">
        <w:rPr>
          <w:rFonts w:ascii="Arial Narrow" w:eastAsia="Arial Narrow" w:hAnsi="Arial Narrow" w:cs="Arial Narrow"/>
          <w:sz w:val="24"/>
          <w:szCs w:val="24"/>
        </w:rPr>
        <w:t xml:space="preserve"> </w:t>
      </w:r>
      <w:r w:rsidRPr="00577605">
        <w:rPr>
          <w:rFonts w:ascii="Arial Narrow" w:eastAsia="Arial Narrow" w:hAnsi="Arial Narrow" w:cs="Arial Narrow"/>
          <w:sz w:val="24"/>
          <w:szCs w:val="24"/>
        </w:rPr>
        <w:t>José Octavio Cardona León</w:t>
      </w:r>
      <w:r w:rsidR="006C2D00" w:rsidRPr="00577605">
        <w:rPr>
          <w:rFonts w:ascii="Arial Narrow" w:eastAsia="Arial Narrow" w:hAnsi="Arial Narrow" w:cs="Arial Narrow"/>
          <w:sz w:val="24"/>
          <w:szCs w:val="24"/>
        </w:rPr>
        <w:t>.</w:t>
      </w:r>
    </w:p>
    <w:p w14:paraId="3311D7D0"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b/>
          <w:sz w:val="24"/>
          <w:szCs w:val="24"/>
          <w:highlight w:val="yellow"/>
        </w:rPr>
      </w:pPr>
    </w:p>
    <w:p w14:paraId="4E911A55" w14:textId="49D1896A" w:rsidR="0067007E" w:rsidRPr="007D4A5D" w:rsidRDefault="00000000" w:rsidP="00174F25">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7D4A5D">
        <w:rPr>
          <w:rFonts w:ascii="Arial Narrow" w:eastAsia="Arial Narrow" w:hAnsi="Arial Narrow" w:cs="Arial Narrow"/>
          <w:sz w:val="24"/>
          <w:szCs w:val="24"/>
        </w:rPr>
        <w:t xml:space="preserve">El proyecto de ley fue remitido a la </w:t>
      </w:r>
      <w:r w:rsidR="00174F25">
        <w:rPr>
          <w:rFonts w:ascii="Arial Narrow" w:eastAsia="Arial Narrow" w:hAnsi="Arial Narrow" w:cs="Arial Narrow"/>
          <w:sz w:val="24"/>
          <w:szCs w:val="24"/>
        </w:rPr>
        <w:t>C</w:t>
      </w:r>
      <w:r w:rsidRPr="007D4A5D">
        <w:rPr>
          <w:rFonts w:ascii="Arial Narrow" w:eastAsia="Arial Narrow" w:hAnsi="Arial Narrow" w:cs="Arial Narrow"/>
          <w:sz w:val="24"/>
          <w:szCs w:val="24"/>
        </w:rPr>
        <w:t xml:space="preserve">omisión </w:t>
      </w:r>
      <w:r w:rsidR="00174F25">
        <w:rPr>
          <w:rFonts w:ascii="Arial Narrow" w:eastAsia="Arial Narrow" w:hAnsi="Arial Narrow" w:cs="Arial Narrow"/>
          <w:sz w:val="24"/>
          <w:szCs w:val="24"/>
        </w:rPr>
        <w:t>P</w:t>
      </w:r>
      <w:r w:rsidRPr="007D4A5D">
        <w:rPr>
          <w:rFonts w:ascii="Arial Narrow" w:eastAsia="Arial Narrow" w:hAnsi="Arial Narrow" w:cs="Arial Narrow"/>
          <w:sz w:val="24"/>
          <w:szCs w:val="24"/>
        </w:rPr>
        <w:t xml:space="preserve">rimera de la Cámara de Representantes, allí fueron designados como ponentes el 07 de mayo de 2025 por  la Mesa directiva de la corporación Catherine Juvinao Clavijo (coordinadora), H.R. Pedro José Súarez Vacca, H.R. Carlos Felipe Quintero  Ovalle, H.R. Juan Carlos Wills Ospina, H.R. Julio César Triana Quintero, H.R. Jorge Eliécer Tamayo Marulanda, H.R. Hernán Darío Cadavid Márque, H.R. Marelen Castillo Torres, H.R. Orlando Castillo </w:t>
      </w:r>
      <w:r w:rsidR="00614F76" w:rsidRPr="007D4A5D">
        <w:rPr>
          <w:rFonts w:ascii="Arial Narrow" w:eastAsia="Arial Narrow" w:hAnsi="Arial Narrow" w:cs="Arial Narrow"/>
          <w:sz w:val="24"/>
          <w:szCs w:val="24"/>
        </w:rPr>
        <w:t>Advíncula</w:t>
      </w:r>
      <w:r w:rsidRPr="007D4A5D">
        <w:rPr>
          <w:rFonts w:ascii="Arial Narrow" w:eastAsia="Arial Narrow" w:hAnsi="Arial Narrow" w:cs="Arial Narrow"/>
          <w:sz w:val="24"/>
          <w:szCs w:val="24"/>
        </w:rPr>
        <w:t xml:space="preserve"> y H.R. Luis Alberto Albán Urbano. </w:t>
      </w:r>
    </w:p>
    <w:p w14:paraId="2FAC0B91"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76448799" w14:textId="0B1ED340" w:rsidR="0067007E" w:rsidRDefault="005B6A19"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bCs/>
          <w:sz w:val="24"/>
          <w:szCs w:val="24"/>
        </w:rPr>
      </w:pPr>
      <w:r w:rsidRPr="002F06C8">
        <w:rPr>
          <w:rFonts w:ascii="Arial Narrow" w:eastAsia="Arial Narrow" w:hAnsi="Arial Narrow" w:cs="Arial Narrow"/>
          <w:b/>
          <w:bCs/>
          <w:sz w:val="24"/>
          <w:szCs w:val="24"/>
        </w:rPr>
        <w:t xml:space="preserve"> CONSIDERACIONES SOBRE</w:t>
      </w:r>
      <w:r w:rsidR="006D23C0" w:rsidRPr="002F06C8">
        <w:rPr>
          <w:rFonts w:ascii="Arial Narrow" w:eastAsia="Arial Narrow" w:hAnsi="Arial Narrow" w:cs="Arial Narrow"/>
          <w:b/>
          <w:bCs/>
          <w:sz w:val="24"/>
          <w:szCs w:val="24"/>
        </w:rPr>
        <w:t xml:space="preserve"> </w:t>
      </w:r>
      <w:r w:rsidRPr="002F06C8">
        <w:rPr>
          <w:rFonts w:ascii="Arial Narrow" w:eastAsia="Arial Narrow" w:hAnsi="Arial Narrow" w:cs="Arial Narrow"/>
          <w:b/>
          <w:bCs/>
          <w:sz w:val="24"/>
          <w:szCs w:val="24"/>
        </w:rPr>
        <w:t>LA DESIGNACIÓN EN EL PRESUPUESTO GENERAL DE LA NACIÓN</w:t>
      </w:r>
      <w:r w:rsidR="00626284" w:rsidRPr="002F06C8">
        <w:rPr>
          <w:rFonts w:ascii="Arial Narrow" w:eastAsia="Arial Narrow" w:hAnsi="Arial Narrow" w:cs="Arial Narrow"/>
          <w:b/>
          <w:bCs/>
          <w:sz w:val="24"/>
          <w:szCs w:val="24"/>
        </w:rPr>
        <w:t xml:space="preserve"> Y LA NATURALEZA ESPECIAL DEL ICETEX</w:t>
      </w:r>
      <w:r w:rsidR="006F0EB1">
        <w:rPr>
          <w:rFonts w:ascii="Arial Narrow" w:eastAsia="Arial Narrow" w:hAnsi="Arial Narrow" w:cs="Arial Narrow"/>
          <w:b/>
          <w:bCs/>
          <w:sz w:val="24"/>
          <w:szCs w:val="24"/>
        </w:rPr>
        <w:t>.</w:t>
      </w:r>
    </w:p>
    <w:p w14:paraId="2BB9986D" w14:textId="77777777" w:rsidR="006F0EB1" w:rsidRPr="002F06C8" w:rsidRDefault="006F0EB1" w:rsidP="00174F25">
      <w:pPr>
        <w:pStyle w:val="Prrafodelista"/>
        <w:pBdr>
          <w:top w:val="nil"/>
          <w:left w:val="nil"/>
          <w:bottom w:val="nil"/>
          <w:right w:val="nil"/>
          <w:between w:val="nil"/>
        </w:pBdr>
        <w:spacing w:line="240" w:lineRule="auto"/>
        <w:ind w:left="1080"/>
        <w:jc w:val="both"/>
        <w:rPr>
          <w:rFonts w:ascii="Arial Narrow" w:eastAsia="Arial Narrow" w:hAnsi="Arial Narrow" w:cs="Arial Narrow"/>
          <w:b/>
          <w:bCs/>
          <w:sz w:val="24"/>
          <w:szCs w:val="24"/>
        </w:rPr>
      </w:pPr>
    </w:p>
    <w:p w14:paraId="16F73CE6" w14:textId="17F39B4F" w:rsidR="006F0EB1" w:rsidRDefault="006F0EB1"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Según el artículo 9 de la ley 1002 del 2005, el Instituto Colombiano de Crédito Educativo y Estudios Técnicos en el Exterior - ICETEX- tiene un patrimonio que incluye aportes de la Nación, recursos propios y de terceros, donaciones</w:t>
      </w:r>
      <w:r>
        <w:rPr>
          <w:rFonts w:ascii="Arial Narrow" w:eastAsia="Arial Narrow" w:hAnsi="Arial Narrow" w:cs="Arial Narrow"/>
          <w:color w:val="000000"/>
          <w:sz w:val="24"/>
          <w:szCs w:val="24"/>
        </w:rPr>
        <w:t xml:space="preserve"> y entre</w:t>
      </w:r>
      <w:r>
        <w:rPr>
          <w:rFonts w:ascii="Arial Narrow" w:eastAsia="Arial Narrow" w:hAnsi="Arial Narrow" w:cs="Arial Narrow"/>
          <w:color w:val="000000"/>
          <w:sz w:val="24"/>
          <w:szCs w:val="24"/>
        </w:rPr>
        <w:t xml:space="preserve"> otros bienes, ingresos, utilidades, rendimientos e inter</w:t>
      </w:r>
      <w:r>
        <w:rPr>
          <w:rFonts w:ascii="Arial Narrow" w:eastAsia="Arial Narrow" w:hAnsi="Arial Narrow" w:cs="Arial Narrow"/>
          <w:color w:val="000000"/>
          <w:sz w:val="24"/>
          <w:szCs w:val="24"/>
        </w:rPr>
        <w:t>e</w:t>
      </w:r>
      <w:r>
        <w:rPr>
          <w:rFonts w:ascii="Arial Narrow" w:eastAsia="Arial Narrow" w:hAnsi="Arial Narrow" w:cs="Arial Narrow"/>
          <w:color w:val="000000"/>
          <w:sz w:val="24"/>
          <w:szCs w:val="24"/>
        </w:rPr>
        <w:t xml:space="preserve">ses dirigidos al cumplimiento de su objeto a razón de tener una relación sectorial y no de subordinación jerárquica con el Ministerio de Educación Nacional. En ese sentido, aunque su dinámica obedezca y opere </w:t>
      </w:r>
      <w:r>
        <w:rPr>
          <w:rFonts w:ascii="Arial Narrow" w:eastAsia="Arial Narrow" w:hAnsi="Arial Narrow" w:cs="Arial Narrow"/>
          <w:color w:val="000000"/>
          <w:sz w:val="24"/>
          <w:szCs w:val="24"/>
        </w:rPr>
        <w:t xml:space="preserve">bajo el </w:t>
      </w:r>
      <w:r>
        <w:rPr>
          <w:rFonts w:ascii="Arial Narrow" w:eastAsia="Arial Narrow" w:hAnsi="Arial Narrow" w:cs="Arial Narrow"/>
          <w:color w:val="000000"/>
          <w:sz w:val="24"/>
          <w:szCs w:val="24"/>
        </w:rPr>
        <w:t xml:space="preserve">régimen particular que le atañe a razón de  su finalidad de responder al  carácter social y de servicio público en priorización el mandato del  interés general a la luz de la Constitución Política de Colombia de 1991, </w:t>
      </w:r>
      <w:r>
        <w:rPr>
          <w:rFonts w:ascii="Arial Narrow" w:eastAsia="Arial Narrow" w:hAnsi="Arial Narrow" w:cs="Arial Narrow"/>
          <w:color w:val="000000"/>
          <w:sz w:val="24"/>
          <w:szCs w:val="24"/>
        </w:rPr>
        <w:t xml:space="preserve">la entidad sigue conservando una autonomía clara, </w:t>
      </w:r>
      <w:r>
        <w:rPr>
          <w:rFonts w:ascii="Arial Narrow" w:eastAsia="Arial Narrow" w:hAnsi="Arial Narrow" w:cs="Arial Narrow"/>
          <w:color w:val="000000"/>
          <w:sz w:val="24"/>
          <w:szCs w:val="24"/>
        </w:rPr>
        <w:t xml:space="preserve">por lo cual, ante esta premisa, el ICETEX dirigirá su misión al acceso, permanencia y universalización de la Educación </w:t>
      </w:r>
      <w:r w:rsidR="00174F25">
        <w:rPr>
          <w:rFonts w:ascii="Arial Narrow" w:eastAsia="Arial Narrow" w:hAnsi="Arial Narrow" w:cs="Arial Narrow"/>
          <w:color w:val="000000"/>
          <w:sz w:val="24"/>
          <w:szCs w:val="24"/>
        </w:rPr>
        <w:t>S</w:t>
      </w:r>
      <w:r>
        <w:rPr>
          <w:rFonts w:ascii="Arial Narrow" w:eastAsia="Arial Narrow" w:hAnsi="Arial Narrow" w:cs="Arial Narrow"/>
          <w:color w:val="000000"/>
          <w:sz w:val="24"/>
          <w:szCs w:val="24"/>
        </w:rPr>
        <w:t>uperior bajo un enfoque de focalización en poblaciones con vulnerabilidad económico-social que dificulta el cierre de brechas en materia de accesibilidad</w:t>
      </w:r>
      <w:r>
        <w:rPr>
          <w:rFonts w:ascii="Arial Narrow" w:eastAsia="Arial Narrow" w:hAnsi="Arial Narrow" w:cs="Arial Narrow"/>
          <w:color w:val="000000"/>
          <w:sz w:val="24"/>
          <w:szCs w:val="24"/>
        </w:rPr>
        <w:t xml:space="preserve"> sin que pierda su margen de maniobra independiente sobre sus propios asuntos.</w:t>
      </w:r>
      <w:r>
        <w:rPr>
          <w:rFonts w:ascii="Arial Narrow" w:eastAsia="Arial Narrow" w:hAnsi="Arial Narrow" w:cs="Arial Narrow"/>
          <w:color w:val="000000"/>
          <w:sz w:val="24"/>
          <w:szCs w:val="24"/>
        </w:rPr>
        <w:t xml:space="preserve">. </w:t>
      </w:r>
    </w:p>
    <w:p w14:paraId="4FCBB644" w14:textId="77777777" w:rsidR="006F0EB1" w:rsidRDefault="006F0EB1" w:rsidP="00174F25">
      <w:pPr>
        <w:spacing w:after="0" w:line="240" w:lineRule="auto"/>
        <w:jc w:val="both"/>
        <w:rPr>
          <w:rFonts w:ascii="Arial Narrow" w:eastAsia="Arial Narrow" w:hAnsi="Arial Narrow" w:cs="Arial Narrow"/>
          <w:color w:val="000000"/>
          <w:sz w:val="24"/>
          <w:szCs w:val="24"/>
        </w:rPr>
      </w:pPr>
    </w:p>
    <w:p w14:paraId="2B0694D4" w14:textId="6BA1B32B" w:rsidR="006F0EB1" w:rsidRDefault="006F0EB1"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este orden de ideas, dedicar una partida exclusiva a esta entidad en las condiciones propuestas, podría </w:t>
      </w:r>
      <w:r w:rsidR="00174F25">
        <w:rPr>
          <w:rFonts w:ascii="Arial Narrow" w:eastAsia="Arial Narrow" w:hAnsi="Arial Narrow" w:cs="Arial Narrow"/>
          <w:color w:val="000000"/>
          <w:sz w:val="24"/>
          <w:szCs w:val="24"/>
        </w:rPr>
        <w:t>representar dificultades</w:t>
      </w:r>
      <w:r>
        <w:rPr>
          <w:rFonts w:ascii="Arial Narrow" w:eastAsia="Arial Narrow" w:hAnsi="Arial Narrow" w:cs="Arial Narrow"/>
          <w:color w:val="000000"/>
          <w:sz w:val="24"/>
          <w:szCs w:val="24"/>
        </w:rPr>
        <w:t xml:space="preserve"> tanto desde la perspectiva fisca</w:t>
      </w:r>
      <w:r>
        <w:rPr>
          <w:rFonts w:ascii="Arial Narrow" w:eastAsia="Arial Narrow" w:hAnsi="Arial Narrow" w:cs="Arial Narrow"/>
          <w:color w:val="000000"/>
          <w:sz w:val="24"/>
          <w:szCs w:val="24"/>
        </w:rPr>
        <w:t xml:space="preserve"> y jurídica. E</w:t>
      </w:r>
      <w:r>
        <w:rPr>
          <w:rFonts w:ascii="Arial Narrow" w:eastAsia="Arial Narrow" w:hAnsi="Arial Narrow" w:cs="Arial Narrow"/>
          <w:color w:val="000000"/>
          <w:sz w:val="24"/>
          <w:szCs w:val="24"/>
        </w:rPr>
        <w:t>n cuan</w:t>
      </w:r>
      <w:r>
        <w:rPr>
          <w:rFonts w:ascii="Arial Narrow" w:eastAsia="Arial Narrow" w:hAnsi="Arial Narrow" w:cs="Arial Narrow"/>
          <w:color w:val="000000"/>
          <w:sz w:val="24"/>
          <w:szCs w:val="24"/>
        </w:rPr>
        <w:t>t</w:t>
      </w:r>
      <w:r>
        <w:rPr>
          <w:rFonts w:ascii="Arial Narrow" w:eastAsia="Arial Narrow" w:hAnsi="Arial Narrow" w:cs="Arial Narrow"/>
          <w:color w:val="000000"/>
          <w:sz w:val="24"/>
          <w:szCs w:val="24"/>
        </w:rPr>
        <w:t>o al posible desplazamiento de recursos públicos al financiamiento de la demanda y la inyección financiera al sector educativo privado</w:t>
      </w:r>
      <w:r>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 xml:space="preserve">se </w:t>
      </w:r>
      <w:r>
        <w:rPr>
          <w:rFonts w:ascii="Arial Narrow" w:eastAsia="Arial Narrow" w:hAnsi="Arial Narrow" w:cs="Arial Narrow"/>
          <w:color w:val="000000"/>
          <w:sz w:val="24"/>
          <w:szCs w:val="24"/>
        </w:rPr>
        <w:t xml:space="preserve"> iría en contra vía de los principios que rigen la gestión pública</w:t>
      </w:r>
      <w:r>
        <w:rPr>
          <w:rFonts w:ascii="Arial Narrow" w:eastAsia="Arial Narrow" w:hAnsi="Arial Narrow" w:cs="Arial Narrow"/>
          <w:color w:val="000000"/>
          <w:sz w:val="24"/>
          <w:szCs w:val="24"/>
        </w:rPr>
        <w:t xml:space="preserve"> de la entidad</w:t>
      </w:r>
      <w:r>
        <w:rPr>
          <w:rFonts w:ascii="Arial Narrow" w:eastAsia="Arial Narrow" w:hAnsi="Arial Narrow" w:cs="Arial Narrow"/>
          <w:color w:val="000000"/>
          <w:sz w:val="24"/>
          <w:szCs w:val="24"/>
        </w:rPr>
        <w:t>, así  como las implicaciones desde las inconsistencias y lagunas jurídicas que atañen la trasferencia de fondos de Presupuesto General de la Nación al ICETEX al ser est</w:t>
      </w:r>
      <w:r>
        <w:rPr>
          <w:rFonts w:ascii="Arial Narrow" w:eastAsia="Arial Narrow" w:hAnsi="Arial Narrow" w:cs="Arial Narrow"/>
          <w:color w:val="000000"/>
          <w:sz w:val="24"/>
          <w:szCs w:val="24"/>
        </w:rPr>
        <w:t>e un instituto</w:t>
      </w:r>
      <w:r>
        <w:rPr>
          <w:rFonts w:ascii="Arial Narrow" w:eastAsia="Arial Narrow" w:hAnsi="Arial Narrow" w:cs="Arial Narrow"/>
          <w:color w:val="000000"/>
          <w:sz w:val="24"/>
          <w:szCs w:val="24"/>
        </w:rPr>
        <w:t xml:space="preserve"> sujet</w:t>
      </w:r>
      <w:r>
        <w:rPr>
          <w:rFonts w:ascii="Arial Narrow" w:eastAsia="Arial Narrow" w:hAnsi="Arial Narrow" w:cs="Arial Narrow"/>
          <w:color w:val="000000"/>
          <w:sz w:val="24"/>
          <w:szCs w:val="24"/>
        </w:rPr>
        <w:t>o, en cierta medida,</w:t>
      </w:r>
      <w:r>
        <w:rPr>
          <w:rFonts w:ascii="Arial Narrow" w:eastAsia="Arial Narrow" w:hAnsi="Arial Narrow" w:cs="Arial Narrow"/>
          <w:color w:val="000000"/>
          <w:sz w:val="24"/>
          <w:szCs w:val="24"/>
        </w:rPr>
        <w:t xml:space="preserve"> al régimen de las empresas industriales y comerciales del Estado (</w:t>
      </w:r>
      <w:r>
        <w:rPr>
          <w:rFonts w:ascii="Arial Narrow" w:eastAsia="Arial Narrow" w:hAnsi="Arial Narrow" w:cs="Arial Narrow"/>
          <w:color w:val="000000"/>
          <w:sz w:val="24"/>
          <w:szCs w:val="24"/>
        </w:rPr>
        <w:t xml:space="preserve">Articulo 4, </w:t>
      </w:r>
      <w:r>
        <w:rPr>
          <w:rFonts w:ascii="Arial Narrow" w:eastAsia="Arial Narrow" w:hAnsi="Arial Narrow" w:cs="Arial Narrow"/>
          <w:color w:val="000000"/>
          <w:sz w:val="24"/>
          <w:szCs w:val="24"/>
        </w:rPr>
        <w:t>Ley 225 de 1995)</w:t>
      </w:r>
      <w:r>
        <w:rPr>
          <w:rFonts w:ascii="Arial Narrow" w:eastAsia="Arial Narrow" w:hAnsi="Arial Narrow" w:cs="Arial Narrow"/>
          <w:color w:val="000000"/>
          <w:sz w:val="24"/>
          <w:szCs w:val="24"/>
        </w:rPr>
        <w:t xml:space="preserve">. A </w:t>
      </w:r>
      <w:r w:rsidR="00174F25">
        <w:rPr>
          <w:rFonts w:ascii="Arial Narrow" w:eastAsia="Arial Narrow" w:hAnsi="Arial Narrow" w:cs="Arial Narrow"/>
          <w:color w:val="000000"/>
          <w:sz w:val="24"/>
          <w:szCs w:val="24"/>
        </w:rPr>
        <w:t>continuación,</w:t>
      </w:r>
      <w:r>
        <w:rPr>
          <w:rFonts w:ascii="Arial Narrow" w:eastAsia="Arial Narrow" w:hAnsi="Arial Narrow" w:cs="Arial Narrow"/>
          <w:color w:val="000000"/>
          <w:sz w:val="24"/>
          <w:szCs w:val="24"/>
        </w:rPr>
        <w:t xml:space="preserve"> se desglosará estas dos premisas de manera más detallada.</w:t>
      </w:r>
    </w:p>
    <w:p w14:paraId="368844BC" w14:textId="77777777" w:rsidR="006F0EB1" w:rsidRDefault="006F0EB1" w:rsidP="00174F25">
      <w:pPr>
        <w:spacing w:after="0" w:line="240" w:lineRule="auto"/>
        <w:jc w:val="both"/>
        <w:rPr>
          <w:rFonts w:ascii="Arial Narrow" w:eastAsia="Arial Narrow" w:hAnsi="Arial Narrow" w:cs="Arial Narrow"/>
          <w:color w:val="000000"/>
          <w:sz w:val="24"/>
          <w:szCs w:val="24"/>
        </w:rPr>
      </w:pPr>
    </w:p>
    <w:p w14:paraId="24C1BCB9" w14:textId="2F66679E" w:rsidR="006F0EB1" w:rsidRDefault="006F0EB1"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primer lugar, el ICETEX, como entidad de naturaleza especial diseñada para la transferencia de créditos y subsidios a estudiantes e instituciones de Educación Superior de índole privada, puede constituir en un uso ineficiente e incluso indebido de recursos públicos. Hoy por hoy, las </w:t>
      </w:r>
      <w:r w:rsidR="00174F25">
        <w:rPr>
          <w:rFonts w:ascii="Arial Narrow" w:eastAsia="Arial Narrow" w:hAnsi="Arial Narrow" w:cs="Arial Narrow"/>
          <w:color w:val="000000"/>
          <w:sz w:val="24"/>
          <w:szCs w:val="24"/>
        </w:rPr>
        <w:t>actividades financieras</w:t>
      </w:r>
      <w:r>
        <w:rPr>
          <w:rFonts w:ascii="Arial Narrow" w:eastAsia="Arial Narrow" w:hAnsi="Arial Narrow" w:cs="Arial Narrow"/>
          <w:color w:val="000000"/>
          <w:sz w:val="24"/>
          <w:szCs w:val="24"/>
        </w:rPr>
        <w:t xml:space="preserve"> que corresponde al pago de matrícula en universidades </w:t>
      </w:r>
      <w:r w:rsidR="0051791E">
        <w:rPr>
          <w:rFonts w:ascii="Arial Narrow" w:eastAsia="Arial Narrow" w:hAnsi="Arial Narrow" w:cs="Arial Narrow"/>
          <w:color w:val="000000"/>
          <w:sz w:val="24"/>
          <w:szCs w:val="24"/>
        </w:rPr>
        <w:t>privadas</w:t>
      </w:r>
      <w:r>
        <w:rPr>
          <w:rFonts w:ascii="Arial Narrow" w:eastAsia="Arial Narrow" w:hAnsi="Arial Narrow" w:cs="Arial Narrow"/>
          <w:color w:val="000000"/>
          <w:sz w:val="24"/>
          <w:szCs w:val="24"/>
        </w:rPr>
        <w:t xml:space="preserve"> están justificadas a la respuesta directa de un interés social y por ello el mantenimiento y actividad presupuestal está en </w:t>
      </w:r>
      <w:r>
        <w:rPr>
          <w:rFonts w:ascii="Arial Narrow" w:eastAsia="Arial Narrow" w:hAnsi="Arial Narrow" w:cs="Arial Narrow"/>
          <w:color w:val="000000"/>
          <w:sz w:val="24"/>
          <w:szCs w:val="24"/>
        </w:rPr>
        <w:lastRenderedPageBreak/>
        <w:t>principal articulación y coordinación con el Ministerio de Educación</w:t>
      </w:r>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 xml:space="preserve"> que es la entidad rectora en dirección, planificación y priorización de lo concerniente a la política sobre Educación Superior. De lo contrario, se estaría entrando inclusive en contradicción con la esencia del ICETEX como entidad financiera pública y su misma sostenibilidad en el tiempo al colisionar con las disposiciones de la ley orgánica del presupuesto y la responsabilidad fiscal. </w:t>
      </w:r>
    </w:p>
    <w:p w14:paraId="3771CDE3" w14:textId="77777777" w:rsidR="006F0EB1" w:rsidRDefault="006F0EB1" w:rsidP="00174F25">
      <w:pPr>
        <w:spacing w:after="0" w:line="240" w:lineRule="auto"/>
        <w:jc w:val="both"/>
        <w:rPr>
          <w:rFonts w:ascii="Arial Narrow" w:eastAsia="Arial Narrow" w:hAnsi="Arial Narrow" w:cs="Arial Narrow"/>
          <w:color w:val="000000"/>
          <w:sz w:val="24"/>
          <w:szCs w:val="24"/>
        </w:rPr>
      </w:pPr>
    </w:p>
    <w:p w14:paraId="23F45EA6" w14:textId="41EC3DBA" w:rsidR="006F0EB1" w:rsidRDefault="006F0EB1"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el marco de las posibilidades que se contemplan en el Estatuto Orgánico del Presupuesto Nacional (Decreto 111 de 1996), en lo que concierne a su organización, estructuración, programación ejecución, control y seguimiento del Presupuesto General de la Nación, la transferencia de recursos y especificidades para el ICETEX</w:t>
      </w:r>
      <w:r>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podría transgredir las limitaciones a las que haya lugar en cuanto  a funcionamiento, inversión y gasto público ya establecidas por el ordenamiento jurídico</w:t>
      </w:r>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 xml:space="preserve"> toda vez que no es claro la definición de los topes de gasto que justifican la creación de una nueva partida presupuestal y las condiciones en que se dará el incremento o adhesión del mismo, sin tener claridades de cómo se gestionaría la recepción de recursos públicos y  su estricto cumplimiento para su fin social</w:t>
      </w:r>
      <w:r w:rsidR="0051791E">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 xml:space="preserve"> al entender el ICETEX desde una entidad que aún cuenta con su autonomía y manejo discrecional sobre su patrimonio, asuntos financieros y administrativos. </w:t>
      </w:r>
    </w:p>
    <w:p w14:paraId="70DFD055" w14:textId="77777777" w:rsidR="006F0EB1" w:rsidRDefault="006F0EB1" w:rsidP="00174F25">
      <w:pPr>
        <w:spacing w:after="0" w:line="240" w:lineRule="auto"/>
        <w:jc w:val="both"/>
        <w:rPr>
          <w:rFonts w:ascii="Arial Narrow" w:eastAsia="Arial Narrow" w:hAnsi="Arial Narrow" w:cs="Arial Narrow"/>
          <w:color w:val="000000"/>
          <w:sz w:val="24"/>
          <w:szCs w:val="24"/>
        </w:rPr>
      </w:pPr>
    </w:p>
    <w:p w14:paraId="55483866" w14:textId="5170CC23" w:rsidR="006F0EB1" w:rsidRDefault="006F0EB1"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anterior controversia </w:t>
      </w:r>
      <w:r w:rsidR="0051791E">
        <w:rPr>
          <w:rFonts w:ascii="Arial Narrow" w:eastAsia="Arial Narrow" w:hAnsi="Arial Narrow" w:cs="Arial Narrow"/>
          <w:color w:val="000000"/>
          <w:sz w:val="24"/>
          <w:szCs w:val="24"/>
        </w:rPr>
        <w:t xml:space="preserve">fiscal y </w:t>
      </w:r>
      <w:r>
        <w:rPr>
          <w:rFonts w:ascii="Arial Narrow" w:eastAsia="Arial Narrow" w:hAnsi="Arial Narrow" w:cs="Arial Narrow"/>
          <w:color w:val="000000"/>
          <w:sz w:val="24"/>
          <w:szCs w:val="24"/>
        </w:rPr>
        <w:t xml:space="preserve">jurídica, implica incluso una dificultad con lo relacionado </w:t>
      </w:r>
      <w:r w:rsidR="0051791E">
        <w:rPr>
          <w:rFonts w:ascii="Arial Narrow" w:eastAsia="Arial Narrow" w:hAnsi="Arial Narrow" w:cs="Arial Narrow"/>
          <w:color w:val="000000"/>
          <w:sz w:val="24"/>
          <w:szCs w:val="24"/>
        </w:rPr>
        <w:t xml:space="preserve">al </w:t>
      </w:r>
      <w:r>
        <w:rPr>
          <w:rFonts w:ascii="Arial Narrow" w:eastAsia="Arial Narrow" w:hAnsi="Arial Narrow" w:cs="Arial Narrow"/>
          <w:color w:val="000000"/>
          <w:sz w:val="24"/>
          <w:szCs w:val="24"/>
        </w:rPr>
        <w:t xml:space="preserve">control fiscal, transparencia de ejecución presupuestal y las obligaciones de vigilancia que adelantan los respectivos órganos de control. En línea con el Marco Fiscal de Mediano Plazo y la restricción de gasto, tiene que ir alineado con la sostenibilidad macroeconómica de la Nación, por lo cual la no definición de controles y </w:t>
      </w:r>
      <w:r w:rsidR="0051791E">
        <w:rPr>
          <w:rFonts w:ascii="Arial Narrow" w:eastAsia="Arial Narrow" w:hAnsi="Arial Narrow" w:cs="Arial Narrow"/>
          <w:color w:val="000000"/>
          <w:sz w:val="24"/>
          <w:szCs w:val="24"/>
        </w:rPr>
        <w:t>límites</w:t>
      </w:r>
      <w:r>
        <w:rPr>
          <w:rFonts w:ascii="Arial Narrow" w:eastAsia="Arial Narrow" w:hAnsi="Arial Narrow" w:cs="Arial Narrow"/>
          <w:color w:val="000000"/>
          <w:sz w:val="24"/>
          <w:szCs w:val="24"/>
        </w:rPr>
        <w:t xml:space="preserve"> claros de dichas asignaciones presupuestales directas supone un potencial riesgo fiscal</w:t>
      </w:r>
      <w:r w:rsidR="0051791E">
        <w:rPr>
          <w:rFonts w:ascii="Arial Narrow" w:eastAsia="Arial Narrow" w:hAnsi="Arial Narrow" w:cs="Arial Narrow"/>
          <w:color w:val="000000"/>
          <w:sz w:val="24"/>
          <w:szCs w:val="24"/>
        </w:rPr>
        <w:t>, ya que</w:t>
      </w:r>
      <w:r>
        <w:rPr>
          <w:rFonts w:ascii="Arial Narrow" w:eastAsia="Arial Narrow" w:hAnsi="Arial Narrow" w:cs="Arial Narrow"/>
          <w:color w:val="000000"/>
          <w:sz w:val="24"/>
          <w:szCs w:val="24"/>
        </w:rPr>
        <w:t xml:space="preserve"> se propendería un desvío de recursos públicos a </w:t>
      </w:r>
      <w:r w:rsidR="0051791E">
        <w:rPr>
          <w:rFonts w:ascii="Arial Narrow" w:eastAsia="Arial Narrow" w:hAnsi="Arial Narrow" w:cs="Arial Narrow"/>
          <w:color w:val="000000"/>
          <w:sz w:val="24"/>
          <w:szCs w:val="24"/>
        </w:rPr>
        <w:t>financió</w:t>
      </w:r>
      <w:r>
        <w:rPr>
          <w:rFonts w:ascii="Arial Narrow" w:eastAsia="Arial Narrow" w:hAnsi="Arial Narrow" w:cs="Arial Narrow"/>
          <w:color w:val="000000"/>
          <w:sz w:val="24"/>
          <w:szCs w:val="24"/>
        </w:rPr>
        <w:t xml:space="preserve"> de la</w:t>
      </w:r>
      <w:r w:rsidR="0051791E">
        <w:rPr>
          <w:rFonts w:ascii="Arial Narrow" w:eastAsia="Arial Narrow" w:hAnsi="Arial Narrow" w:cs="Arial Narrow"/>
          <w:color w:val="000000"/>
          <w:sz w:val="24"/>
          <w:szCs w:val="24"/>
        </w:rPr>
        <w:t xml:space="preserve"> demanda.</w:t>
      </w:r>
    </w:p>
    <w:p w14:paraId="4EA89412" w14:textId="77777777" w:rsidR="006F0EB1" w:rsidRDefault="006F0EB1" w:rsidP="00174F25">
      <w:pPr>
        <w:spacing w:after="0" w:line="240" w:lineRule="auto"/>
        <w:jc w:val="both"/>
        <w:rPr>
          <w:rFonts w:ascii="Arial Narrow" w:eastAsia="Arial Narrow" w:hAnsi="Arial Narrow" w:cs="Arial Narrow"/>
          <w:color w:val="000000"/>
          <w:sz w:val="24"/>
          <w:szCs w:val="24"/>
        </w:rPr>
      </w:pPr>
    </w:p>
    <w:p w14:paraId="34454969" w14:textId="459DAD51" w:rsidR="006F0EB1" w:rsidRDefault="0051791E"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Así las cosas, </w:t>
      </w:r>
      <w:r w:rsidR="00174F25">
        <w:rPr>
          <w:rFonts w:ascii="Arial Narrow" w:eastAsia="Arial Narrow" w:hAnsi="Arial Narrow" w:cs="Arial Narrow"/>
          <w:color w:val="000000"/>
          <w:sz w:val="24"/>
          <w:szCs w:val="24"/>
        </w:rPr>
        <w:t>que</w:t>
      </w:r>
      <w:r w:rsidR="006F0EB1">
        <w:rPr>
          <w:rFonts w:ascii="Arial Narrow" w:eastAsia="Arial Narrow" w:hAnsi="Arial Narrow" w:cs="Arial Narrow"/>
          <w:color w:val="000000"/>
          <w:sz w:val="24"/>
          <w:szCs w:val="24"/>
        </w:rPr>
        <w:t xml:space="preserve"> </w:t>
      </w:r>
      <w:r w:rsidR="00174F25">
        <w:rPr>
          <w:rFonts w:ascii="Arial Narrow" w:eastAsia="Arial Narrow" w:hAnsi="Arial Narrow" w:cs="Arial Narrow"/>
          <w:color w:val="000000"/>
          <w:sz w:val="24"/>
          <w:szCs w:val="24"/>
        </w:rPr>
        <w:t xml:space="preserve">el </w:t>
      </w:r>
      <w:r w:rsidR="006F0EB1">
        <w:rPr>
          <w:rFonts w:ascii="Arial Narrow" w:eastAsia="Arial Narrow" w:hAnsi="Arial Narrow" w:cs="Arial Narrow"/>
          <w:color w:val="000000"/>
          <w:sz w:val="24"/>
          <w:szCs w:val="24"/>
        </w:rPr>
        <w:t xml:space="preserve">ICETEX </w:t>
      </w:r>
      <w:r w:rsidR="00174F25">
        <w:rPr>
          <w:rFonts w:ascii="Arial Narrow" w:eastAsia="Arial Narrow" w:hAnsi="Arial Narrow" w:cs="Arial Narrow"/>
          <w:color w:val="000000"/>
          <w:sz w:val="24"/>
          <w:szCs w:val="24"/>
        </w:rPr>
        <w:t xml:space="preserve">tenga </w:t>
      </w:r>
      <w:r w:rsidR="006F0EB1">
        <w:rPr>
          <w:rFonts w:ascii="Arial Narrow" w:eastAsia="Arial Narrow" w:hAnsi="Arial Narrow" w:cs="Arial Narrow"/>
          <w:color w:val="000000"/>
          <w:sz w:val="24"/>
          <w:szCs w:val="24"/>
        </w:rPr>
        <w:t>en un rubro</w:t>
      </w:r>
      <w:r w:rsidR="00174F25">
        <w:rPr>
          <w:rFonts w:ascii="Arial Narrow" w:eastAsia="Arial Narrow" w:hAnsi="Arial Narrow" w:cs="Arial Narrow"/>
          <w:color w:val="000000"/>
          <w:sz w:val="24"/>
          <w:szCs w:val="24"/>
        </w:rPr>
        <w:t xml:space="preserve"> específico</w:t>
      </w:r>
      <w:r w:rsidR="006F0EB1">
        <w:rPr>
          <w:rFonts w:ascii="Arial Narrow" w:eastAsia="Arial Narrow" w:hAnsi="Arial Narrow" w:cs="Arial Narrow"/>
          <w:color w:val="000000"/>
          <w:sz w:val="24"/>
          <w:szCs w:val="24"/>
        </w:rPr>
        <w:t xml:space="preserve"> del Presupuesto General de la Nación entra en una ambigüedad con su espectro jurídico con su carácter especial, pues,  al proponer incluso una pérdida de su autonomía y una capacidad rígida</w:t>
      </w:r>
      <w:r>
        <w:rPr>
          <w:rFonts w:ascii="Arial Narrow" w:eastAsia="Arial Narrow" w:hAnsi="Arial Narrow" w:cs="Arial Narrow"/>
          <w:color w:val="000000"/>
          <w:sz w:val="24"/>
          <w:szCs w:val="24"/>
        </w:rPr>
        <w:t xml:space="preserve">, pondría un reto para la innovación </w:t>
      </w:r>
      <w:r w:rsidR="006F0EB1">
        <w:rPr>
          <w:rFonts w:ascii="Arial Narrow" w:eastAsia="Arial Narrow" w:hAnsi="Arial Narrow" w:cs="Arial Narrow"/>
          <w:color w:val="000000"/>
          <w:sz w:val="24"/>
          <w:szCs w:val="24"/>
        </w:rPr>
        <w:t xml:space="preserve"> fuentes de financiamiento acorde a las posibilidades </w:t>
      </w:r>
      <w:r>
        <w:rPr>
          <w:rFonts w:ascii="Arial Narrow" w:eastAsia="Arial Narrow" w:hAnsi="Arial Narrow" w:cs="Arial Narrow"/>
          <w:color w:val="000000"/>
          <w:sz w:val="24"/>
          <w:szCs w:val="24"/>
        </w:rPr>
        <w:t>que hoy tiene la entidad para</w:t>
      </w:r>
      <w:r w:rsidR="006F0EB1">
        <w:rPr>
          <w:rFonts w:ascii="Arial Narrow" w:eastAsia="Arial Narrow" w:hAnsi="Arial Narrow" w:cs="Arial Narrow"/>
          <w:color w:val="000000"/>
          <w:sz w:val="24"/>
          <w:szCs w:val="24"/>
        </w:rPr>
        <w:t xml:space="preserve"> para explorar opciones entorno a la ampliación de su oferta y gestión de utilidades como tradicionalmente se ha definido sus políticas de crédito en función de sus criterios técnicos y económicos independientes; en verbigracias “la prohibición de incorporación a grupos financieros estatales, aunque coherente con el carácter social, podría requerir mayor desarrollo normativo o incluso revisión constitucional al implicar posibles restricciones a la autonomía administrativa del ICETEX.” (Ministerio de Educación) </w:t>
      </w:r>
    </w:p>
    <w:p w14:paraId="611E16F0" w14:textId="77777777" w:rsidR="006F0EB1" w:rsidRDefault="006F0EB1" w:rsidP="00174F25">
      <w:pPr>
        <w:spacing w:after="0" w:line="240" w:lineRule="auto"/>
        <w:jc w:val="both"/>
        <w:rPr>
          <w:rFonts w:ascii="Arial Narrow" w:eastAsia="Arial Narrow" w:hAnsi="Arial Narrow" w:cs="Arial Narrow"/>
          <w:color w:val="000000"/>
          <w:sz w:val="24"/>
          <w:szCs w:val="24"/>
        </w:rPr>
      </w:pPr>
    </w:p>
    <w:p w14:paraId="5A62CE33" w14:textId="4D755DEB" w:rsidR="006F0EB1" w:rsidRDefault="0051791E"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También la</w:t>
      </w:r>
      <w:r w:rsidR="006F0EB1">
        <w:rPr>
          <w:rFonts w:ascii="Arial Narrow" w:eastAsia="Arial Narrow" w:hAnsi="Arial Narrow" w:cs="Arial Narrow"/>
          <w:color w:val="000000"/>
          <w:sz w:val="24"/>
          <w:szCs w:val="24"/>
        </w:rPr>
        <w:t xml:space="preserve"> transferencia de fondos a una entidad que cede créditos y subsidios puede vulnerar principios de eficiencia y equidad fiscal</w:t>
      </w:r>
      <w:r>
        <w:rPr>
          <w:rFonts w:ascii="Arial Narrow" w:eastAsia="Arial Narrow" w:hAnsi="Arial Narrow" w:cs="Arial Narrow"/>
          <w:color w:val="000000"/>
          <w:sz w:val="24"/>
          <w:szCs w:val="24"/>
        </w:rPr>
        <w:t xml:space="preserve">. </w:t>
      </w:r>
      <w:r w:rsidR="006F0EB1">
        <w:rPr>
          <w:rFonts w:ascii="Arial Narrow" w:eastAsia="Arial Narrow" w:hAnsi="Arial Narrow" w:cs="Arial Narrow"/>
          <w:color w:val="000000"/>
          <w:sz w:val="24"/>
          <w:szCs w:val="24"/>
        </w:rPr>
        <w:t xml:space="preserve">Estos dos puntos impactan la base funcional y misional del ICETEX no </w:t>
      </w:r>
      <w:r w:rsidR="00174F25">
        <w:rPr>
          <w:rFonts w:ascii="Arial Narrow" w:eastAsia="Arial Narrow" w:hAnsi="Arial Narrow" w:cs="Arial Narrow"/>
          <w:color w:val="000000"/>
          <w:sz w:val="24"/>
          <w:szCs w:val="24"/>
        </w:rPr>
        <w:t>solo es</w:t>
      </w:r>
      <w:r w:rsidR="006F0EB1">
        <w:rPr>
          <w:rFonts w:ascii="Arial Narrow" w:eastAsia="Arial Narrow" w:hAnsi="Arial Narrow" w:cs="Arial Narrow"/>
          <w:color w:val="000000"/>
          <w:sz w:val="24"/>
          <w:szCs w:val="24"/>
        </w:rPr>
        <w:t xml:space="preserve"> su funcionamiento para generar utilidad y beneficios económicos gobernados por las lógicas del mercado privado financiero, sino también la utilización directa de recursos de lo público para la financiación de la demanda provocando un pago de </w:t>
      </w:r>
      <w:proofErr w:type="gramStart"/>
      <w:r w:rsidR="006F0EB1">
        <w:rPr>
          <w:rFonts w:ascii="Arial Narrow" w:eastAsia="Arial Narrow" w:hAnsi="Arial Narrow" w:cs="Arial Narrow"/>
          <w:color w:val="000000"/>
          <w:sz w:val="24"/>
          <w:szCs w:val="24"/>
        </w:rPr>
        <w:t>costo  de</w:t>
      </w:r>
      <w:proofErr w:type="gramEnd"/>
      <w:r w:rsidR="006F0EB1">
        <w:rPr>
          <w:rFonts w:ascii="Arial Narrow" w:eastAsia="Arial Narrow" w:hAnsi="Arial Narrow" w:cs="Arial Narrow"/>
          <w:color w:val="000000"/>
          <w:sz w:val="24"/>
          <w:szCs w:val="24"/>
        </w:rPr>
        <w:t xml:space="preserve"> oportunidad alto con una precaria justificación desde la política de justicia social. </w:t>
      </w:r>
    </w:p>
    <w:p w14:paraId="1B8D72A4" w14:textId="77777777" w:rsidR="006F0EB1" w:rsidRDefault="006F0EB1" w:rsidP="00174F25">
      <w:pPr>
        <w:spacing w:after="0" w:line="240" w:lineRule="auto"/>
        <w:jc w:val="both"/>
        <w:rPr>
          <w:rFonts w:ascii="Arial Narrow" w:eastAsia="Arial Narrow" w:hAnsi="Arial Narrow" w:cs="Arial Narrow"/>
          <w:color w:val="000000"/>
          <w:sz w:val="24"/>
          <w:szCs w:val="24"/>
        </w:rPr>
      </w:pPr>
    </w:p>
    <w:p w14:paraId="1C73B793" w14:textId="18C73C03" w:rsidR="006F0EB1" w:rsidRDefault="006F0EB1"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Ahora bien, sobre la cuestiones constitucionales del Gasto </w:t>
      </w:r>
      <w:r w:rsidR="0051791E">
        <w:rPr>
          <w:rFonts w:ascii="Arial Narrow" w:eastAsia="Arial Narrow" w:hAnsi="Arial Narrow" w:cs="Arial Narrow"/>
          <w:color w:val="000000"/>
          <w:sz w:val="24"/>
          <w:szCs w:val="24"/>
        </w:rPr>
        <w:t>P</w:t>
      </w:r>
      <w:r>
        <w:rPr>
          <w:rFonts w:ascii="Arial Narrow" w:eastAsia="Arial Narrow" w:hAnsi="Arial Narrow" w:cs="Arial Narrow"/>
          <w:color w:val="000000"/>
          <w:sz w:val="24"/>
          <w:szCs w:val="24"/>
        </w:rPr>
        <w:t xml:space="preserve">úblico como un instrumento de planificación y cumplimiento de planes y programas estatales, los cuales deben estar en el amparo constante de las disposiciones del Capítulo 3 Título XII de la Constitución política de 1991 que contiene </w:t>
      </w:r>
      <w:r>
        <w:rPr>
          <w:rFonts w:ascii="Arial Narrow" w:eastAsia="Arial Narrow" w:hAnsi="Arial Narrow" w:cs="Arial Narrow"/>
          <w:color w:val="000000"/>
          <w:sz w:val="24"/>
          <w:szCs w:val="24"/>
        </w:rPr>
        <w:lastRenderedPageBreak/>
        <w:t>los principios de la actividad presupuestal estatal, las erogaciones presupuestales de las que versa la iniciativa, podrían distanciarse de garantizar  del fin último del Estado Social de Derecho en el artículo 67 de la Constitución Política de 1991 al no tener certeza sobre que dichos rubros se dirijan con preferencia a garantizar los derechos fundamentales y promover la igualdad</w:t>
      </w:r>
      <w:r w:rsidR="0051791E">
        <w:rPr>
          <w:rFonts w:ascii="Arial Narrow" w:eastAsia="Arial Narrow" w:hAnsi="Arial Narrow" w:cs="Arial Narrow"/>
          <w:color w:val="000000"/>
          <w:sz w:val="24"/>
          <w:szCs w:val="24"/>
        </w:rPr>
        <w:t xml:space="preserve">. </w:t>
      </w:r>
    </w:p>
    <w:p w14:paraId="1E564C82" w14:textId="77777777" w:rsidR="006F0EB1" w:rsidRDefault="006F0EB1" w:rsidP="00174F25">
      <w:pPr>
        <w:spacing w:after="0" w:line="240" w:lineRule="auto"/>
        <w:jc w:val="both"/>
        <w:rPr>
          <w:rFonts w:ascii="Arial Narrow" w:eastAsia="Arial Narrow" w:hAnsi="Arial Narrow" w:cs="Arial Narrow"/>
          <w:color w:val="000000"/>
          <w:sz w:val="24"/>
          <w:szCs w:val="24"/>
        </w:rPr>
      </w:pPr>
    </w:p>
    <w:p w14:paraId="7A754824" w14:textId="40736DE5" w:rsidR="0051791E" w:rsidRDefault="006F0EB1"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último, si bien la intención esta direccionada a el aumento de volumen de operaciones y de ingresos con el objetivo de garantizar el musculo financiero de la entidad</w:t>
      </w:r>
      <w:r w:rsidR="0051791E">
        <w:rPr>
          <w:rFonts w:ascii="Arial Narrow" w:eastAsia="Arial Narrow" w:hAnsi="Arial Narrow" w:cs="Arial Narrow"/>
          <w:color w:val="000000"/>
          <w:sz w:val="24"/>
          <w:szCs w:val="24"/>
        </w:rPr>
        <w:t xml:space="preserve"> para evitar o prevenir </w:t>
      </w:r>
      <w:r w:rsidR="009C7355">
        <w:rPr>
          <w:rFonts w:ascii="Arial Narrow" w:eastAsia="Arial Narrow" w:hAnsi="Arial Narrow" w:cs="Arial Narrow"/>
          <w:color w:val="000000"/>
          <w:sz w:val="24"/>
          <w:szCs w:val="24"/>
        </w:rPr>
        <w:t>contingencias económicas</w:t>
      </w:r>
      <w:r>
        <w:rPr>
          <w:rFonts w:ascii="Arial Narrow" w:eastAsia="Arial Narrow" w:hAnsi="Arial Narrow" w:cs="Arial Narrow"/>
          <w:color w:val="000000"/>
          <w:sz w:val="24"/>
          <w:szCs w:val="24"/>
        </w:rPr>
        <w:t xml:space="preserve">, la propuesta de atar la financiación por medio del PGN, puede alterar aspectos como la contratación al empezar a percibir la </w:t>
      </w:r>
      <w:r w:rsidR="0051791E">
        <w:rPr>
          <w:rFonts w:ascii="Arial Narrow" w:eastAsia="Arial Narrow" w:hAnsi="Arial Narrow" w:cs="Arial Narrow"/>
          <w:color w:val="000000"/>
          <w:sz w:val="24"/>
          <w:szCs w:val="24"/>
        </w:rPr>
        <w:t>misma</w:t>
      </w:r>
      <w:r>
        <w:rPr>
          <w:rFonts w:ascii="Arial Narrow" w:eastAsia="Arial Narrow" w:hAnsi="Arial Narrow" w:cs="Arial Narrow"/>
          <w:color w:val="000000"/>
          <w:sz w:val="24"/>
          <w:szCs w:val="24"/>
        </w:rPr>
        <w:t xml:space="preserve"> desde una perspectiva netamente pública, lo que en la práctica podría dejar sin efectos o </w:t>
      </w:r>
      <w:r w:rsidR="0051791E">
        <w:rPr>
          <w:rFonts w:ascii="Arial Narrow" w:eastAsia="Arial Narrow" w:hAnsi="Arial Narrow" w:cs="Arial Narrow"/>
          <w:color w:val="000000"/>
          <w:sz w:val="24"/>
          <w:szCs w:val="24"/>
        </w:rPr>
        <w:t xml:space="preserve">inaplicables disposiciones de </w:t>
      </w:r>
      <w:r>
        <w:rPr>
          <w:rFonts w:ascii="Arial Narrow" w:eastAsia="Arial Narrow" w:hAnsi="Arial Narrow" w:cs="Arial Narrow"/>
          <w:color w:val="000000"/>
          <w:sz w:val="24"/>
          <w:szCs w:val="24"/>
        </w:rPr>
        <w:t>la Ley 1002 de 2005</w:t>
      </w:r>
      <w:r w:rsidR="0051791E">
        <w:rPr>
          <w:rFonts w:ascii="Arial Narrow" w:eastAsia="Arial Narrow" w:hAnsi="Arial Narrow" w:cs="Arial Narrow"/>
          <w:color w:val="000000"/>
          <w:sz w:val="24"/>
          <w:szCs w:val="24"/>
        </w:rPr>
        <w:t>.</w:t>
      </w:r>
    </w:p>
    <w:p w14:paraId="3EAD6C02" w14:textId="77777777" w:rsidR="0051791E" w:rsidRDefault="0051791E" w:rsidP="00174F25">
      <w:pPr>
        <w:spacing w:after="0" w:line="240" w:lineRule="auto"/>
        <w:jc w:val="both"/>
        <w:rPr>
          <w:rFonts w:ascii="Arial Narrow" w:eastAsia="Arial Narrow" w:hAnsi="Arial Narrow" w:cs="Arial Narrow"/>
          <w:color w:val="000000"/>
          <w:sz w:val="24"/>
          <w:szCs w:val="24"/>
        </w:rPr>
      </w:pPr>
    </w:p>
    <w:p w14:paraId="7C3BE283" w14:textId="1E154D10" w:rsidR="006F0EB1" w:rsidRDefault="006F0EB1" w:rsidP="00174F2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Según la Agencia distrital de Educación Ninguno de sus artículos propuestos establece si sus normas complementarán o modificarán la Ley 1002 de 2005. La única disposición relativa a la vigencia y derogatoria es el artículo 17, que</w:t>
      </w:r>
      <w:r w:rsidR="0051791E">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prescribe: "La presente ley rige a partir de su promulgación y publicación, derogando todas las disposiciones que le sean contrarias", lo cual dificulta la interpretación jurídica del alcance del proyecto.</w:t>
      </w:r>
    </w:p>
    <w:p w14:paraId="206DAE4F" w14:textId="77777777" w:rsidR="006F0EB1" w:rsidRDefault="006F0EB1" w:rsidP="00174F25">
      <w:pPr>
        <w:spacing w:after="0" w:line="240" w:lineRule="auto"/>
        <w:jc w:val="both"/>
        <w:rPr>
          <w:rFonts w:ascii="Arial Narrow" w:eastAsia="Arial Narrow" w:hAnsi="Arial Narrow" w:cs="Arial Narrow"/>
          <w:color w:val="000000"/>
          <w:sz w:val="24"/>
          <w:szCs w:val="24"/>
        </w:rPr>
      </w:pPr>
    </w:p>
    <w:p w14:paraId="3E12F530"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7C1270DD" w14:textId="630B9C8B" w:rsidR="005B6A19" w:rsidRPr="007D4A5D" w:rsidRDefault="005B6A19" w:rsidP="00174F25">
      <w:pPr>
        <w:pStyle w:val="Encabezado"/>
        <w:numPr>
          <w:ilvl w:val="0"/>
          <w:numId w:val="3"/>
        </w:numPr>
        <w:jc w:val="both"/>
        <w:rPr>
          <w:rFonts w:ascii="Arial Narrow" w:hAnsi="Arial Narrow"/>
          <w:b/>
          <w:bCs/>
          <w:sz w:val="24"/>
          <w:szCs w:val="24"/>
        </w:rPr>
      </w:pPr>
      <w:bookmarkStart w:id="1" w:name="_Hlk199933500"/>
      <w:r w:rsidRPr="007D4A5D">
        <w:rPr>
          <w:rFonts w:ascii="Arial Narrow" w:hAnsi="Arial Narrow"/>
          <w:b/>
          <w:bCs/>
          <w:sz w:val="24"/>
          <w:szCs w:val="24"/>
        </w:rPr>
        <w:t>ESTADO ACTUAL DEL CRÉDITO EDUCATIVO: FINANCIAMIENTO, PERCEPCIÓN DE BENEFICIARIOS Y ESTRATEGIAS DE SOSTENIBILIDAD DEL ICETEX</w:t>
      </w:r>
    </w:p>
    <w:bookmarkEnd w:id="1"/>
    <w:p w14:paraId="6A80B6CF" w14:textId="77777777" w:rsidR="005B6A19" w:rsidRPr="007D4A5D" w:rsidRDefault="005B6A19" w:rsidP="00174F25">
      <w:pPr>
        <w:pStyle w:val="Encabezado"/>
        <w:jc w:val="both"/>
        <w:rPr>
          <w:rFonts w:ascii="Arial Narrow" w:hAnsi="Arial Narrow"/>
          <w:b/>
          <w:bCs/>
          <w:sz w:val="24"/>
          <w:szCs w:val="24"/>
        </w:rPr>
      </w:pPr>
    </w:p>
    <w:p w14:paraId="66F20C06" w14:textId="1E2B356C" w:rsidR="005B6A19" w:rsidRPr="007D4A5D" w:rsidRDefault="005B6A19" w:rsidP="00174F25">
      <w:pPr>
        <w:pStyle w:val="Encabezado"/>
        <w:jc w:val="both"/>
        <w:rPr>
          <w:rFonts w:ascii="Arial Narrow" w:hAnsi="Arial Narrow"/>
          <w:sz w:val="24"/>
          <w:szCs w:val="24"/>
          <w:lang w:val="es-MX"/>
        </w:rPr>
      </w:pPr>
      <w:r w:rsidRPr="007D4A5D">
        <w:rPr>
          <w:rFonts w:ascii="Arial Narrow" w:hAnsi="Arial Narrow"/>
          <w:sz w:val="24"/>
          <w:szCs w:val="24"/>
          <w:lang w:val="es-MX"/>
        </w:rPr>
        <w:t>En respuesta a un debate de control político concerniente sobre la desfinanciación y la garantía al acceso a la educación superior que se tenía planteado para el 6 de marzo de 2025 y sus efectos en la continuidad de los subsidios a los créditos educativos. Se resalta que debido a la eliminación de subsidios a la deuda en 2025 el aumento sería de $ 142.162, es decir un aumento del 31,52% respecto a las cuotas actuales. Sin embargo, no se evidencia una relación directa entre el aumento de cuotas y la deserción académica ya que la variación del interés afecta principalmente a beneficiarios en atapa de amortización del crédito. Para soportar ello, ICETEX realizó un estudio de percepción de una muestra de 750 beneficiarios, de los cuales 400 respondieron la encuesta y arrojaron los siguientes resultados:</w:t>
      </w:r>
    </w:p>
    <w:p w14:paraId="6EC42070" w14:textId="77777777" w:rsidR="005B6A19" w:rsidRPr="007D4A5D" w:rsidRDefault="005B6A19" w:rsidP="00174F25">
      <w:pPr>
        <w:pStyle w:val="Encabezado"/>
        <w:jc w:val="both"/>
        <w:rPr>
          <w:rFonts w:ascii="Arial Narrow" w:hAnsi="Arial Narrow"/>
          <w:sz w:val="24"/>
          <w:szCs w:val="24"/>
          <w:lang w:val="es-MX"/>
        </w:rPr>
      </w:pPr>
    </w:p>
    <w:p w14:paraId="751D55DB" w14:textId="77777777" w:rsidR="005B6A19" w:rsidRPr="007D4A5D" w:rsidRDefault="005B6A19" w:rsidP="00174F25">
      <w:pPr>
        <w:pStyle w:val="Encabezado"/>
        <w:numPr>
          <w:ilvl w:val="0"/>
          <w:numId w:val="1"/>
        </w:numPr>
        <w:jc w:val="both"/>
        <w:rPr>
          <w:rFonts w:ascii="Arial Narrow" w:hAnsi="Arial Narrow"/>
          <w:sz w:val="24"/>
          <w:szCs w:val="24"/>
        </w:rPr>
      </w:pPr>
      <w:r w:rsidRPr="007D4A5D">
        <w:rPr>
          <w:rFonts w:ascii="Arial Narrow" w:hAnsi="Arial Narrow"/>
          <w:sz w:val="24"/>
          <w:szCs w:val="24"/>
        </w:rPr>
        <w:t>El 29,5% indicó haber finalizado sus estudios.</w:t>
      </w:r>
    </w:p>
    <w:p w14:paraId="0173A56E" w14:textId="77777777" w:rsidR="005B6A19" w:rsidRPr="007D4A5D" w:rsidRDefault="005B6A19" w:rsidP="00174F25">
      <w:pPr>
        <w:pStyle w:val="Encabezado"/>
        <w:numPr>
          <w:ilvl w:val="0"/>
          <w:numId w:val="1"/>
        </w:numPr>
        <w:jc w:val="both"/>
        <w:rPr>
          <w:rFonts w:ascii="Arial Narrow" w:hAnsi="Arial Narrow"/>
          <w:sz w:val="24"/>
          <w:szCs w:val="24"/>
        </w:rPr>
      </w:pPr>
      <w:r w:rsidRPr="007D4A5D">
        <w:rPr>
          <w:rFonts w:ascii="Arial Narrow" w:hAnsi="Arial Narrow"/>
          <w:sz w:val="24"/>
          <w:szCs w:val="24"/>
        </w:rPr>
        <w:t>El 13,1% atribuyó su no renovación a problemas tecnológicos.</w:t>
      </w:r>
    </w:p>
    <w:p w14:paraId="4C9E0B9B" w14:textId="77777777" w:rsidR="005B6A19" w:rsidRPr="007D4A5D" w:rsidRDefault="005B6A19" w:rsidP="00174F25">
      <w:pPr>
        <w:pStyle w:val="Encabezado"/>
        <w:numPr>
          <w:ilvl w:val="0"/>
          <w:numId w:val="1"/>
        </w:numPr>
        <w:jc w:val="both"/>
        <w:rPr>
          <w:rFonts w:ascii="Arial Narrow" w:hAnsi="Arial Narrow"/>
          <w:sz w:val="24"/>
          <w:szCs w:val="24"/>
        </w:rPr>
      </w:pPr>
      <w:r w:rsidRPr="007D4A5D">
        <w:rPr>
          <w:rFonts w:ascii="Arial Narrow" w:hAnsi="Arial Narrow"/>
          <w:sz w:val="24"/>
          <w:szCs w:val="24"/>
        </w:rPr>
        <w:t>El 11,6% señaló dificultades financieras.</w:t>
      </w:r>
    </w:p>
    <w:p w14:paraId="66301E50" w14:textId="77777777" w:rsidR="005B6A19" w:rsidRPr="007D4A5D" w:rsidRDefault="005B6A19" w:rsidP="00174F25">
      <w:pPr>
        <w:pStyle w:val="Encabezado"/>
        <w:numPr>
          <w:ilvl w:val="0"/>
          <w:numId w:val="1"/>
        </w:numPr>
        <w:jc w:val="both"/>
        <w:rPr>
          <w:rFonts w:ascii="Arial Narrow" w:hAnsi="Arial Narrow"/>
          <w:sz w:val="24"/>
          <w:szCs w:val="24"/>
        </w:rPr>
      </w:pPr>
      <w:r w:rsidRPr="007D4A5D">
        <w:rPr>
          <w:rFonts w:ascii="Arial Narrow" w:hAnsi="Arial Narrow"/>
          <w:sz w:val="24"/>
          <w:szCs w:val="24"/>
        </w:rPr>
        <w:t>El 8,8% expresó que no continuarán con sus estudios.</w:t>
      </w:r>
    </w:p>
    <w:p w14:paraId="5F07C2AB" w14:textId="77777777" w:rsidR="005B6A19" w:rsidRPr="007D4A5D" w:rsidRDefault="005B6A19" w:rsidP="00174F25">
      <w:pPr>
        <w:pStyle w:val="Encabezado"/>
        <w:numPr>
          <w:ilvl w:val="0"/>
          <w:numId w:val="1"/>
        </w:numPr>
        <w:jc w:val="both"/>
        <w:rPr>
          <w:rFonts w:ascii="Arial Narrow" w:hAnsi="Arial Narrow"/>
          <w:sz w:val="24"/>
          <w:szCs w:val="24"/>
        </w:rPr>
      </w:pPr>
      <w:r w:rsidRPr="007D4A5D">
        <w:rPr>
          <w:rFonts w:ascii="Arial Narrow" w:hAnsi="Arial Narrow"/>
          <w:sz w:val="24"/>
          <w:szCs w:val="24"/>
        </w:rPr>
        <w:t>El 6,4% manifestó haber alcanzado el límite de desembolsos y necesita un giro adicional.</w:t>
      </w:r>
    </w:p>
    <w:p w14:paraId="47C411A2" w14:textId="77777777" w:rsidR="005B6A19" w:rsidRPr="007D4A5D" w:rsidRDefault="005B6A19" w:rsidP="00174F25">
      <w:pPr>
        <w:pStyle w:val="Encabezado"/>
        <w:numPr>
          <w:ilvl w:val="0"/>
          <w:numId w:val="1"/>
        </w:numPr>
        <w:jc w:val="both"/>
        <w:rPr>
          <w:rFonts w:ascii="Arial Narrow" w:hAnsi="Arial Narrow"/>
          <w:sz w:val="24"/>
          <w:szCs w:val="24"/>
        </w:rPr>
      </w:pPr>
      <w:r w:rsidRPr="007D4A5D">
        <w:rPr>
          <w:rFonts w:ascii="Arial Narrow" w:hAnsi="Arial Narrow"/>
          <w:sz w:val="24"/>
          <w:szCs w:val="24"/>
        </w:rPr>
        <w:t>El 6,4% mencionó la falta de sincronización entre los tiempos de las universidades y el proceso de renovación.</w:t>
      </w:r>
    </w:p>
    <w:p w14:paraId="47E542D3" w14:textId="77777777" w:rsidR="005B6A19" w:rsidRPr="007D4A5D" w:rsidRDefault="005B6A19" w:rsidP="00174F25">
      <w:pPr>
        <w:pStyle w:val="Encabezado"/>
        <w:numPr>
          <w:ilvl w:val="0"/>
          <w:numId w:val="1"/>
        </w:numPr>
        <w:jc w:val="both"/>
        <w:rPr>
          <w:rFonts w:ascii="Arial Narrow" w:hAnsi="Arial Narrow"/>
          <w:sz w:val="24"/>
          <w:szCs w:val="24"/>
        </w:rPr>
      </w:pPr>
      <w:r w:rsidRPr="007D4A5D">
        <w:rPr>
          <w:rFonts w:ascii="Arial Narrow" w:hAnsi="Arial Narrow"/>
          <w:sz w:val="24"/>
          <w:szCs w:val="24"/>
        </w:rPr>
        <w:t>El 2,6% optó por otras fuentes de financiamiento.</w:t>
      </w:r>
    </w:p>
    <w:p w14:paraId="414183BA" w14:textId="77777777" w:rsidR="005B6A19" w:rsidRPr="007D4A5D" w:rsidRDefault="005B6A19" w:rsidP="00174F25">
      <w:pPr>
        <w:pStyle w:val="Encabezado"/>
        <w:jc w:val="both"/>
        <w:rPr>
          <w:rFonts w:ascii="Arial Narrow" w:hAnsi="Arial Narrow"/>
          <w:sz w:val="24"/>
          <w:szCs w:val="24"/>
        </w:rPr>
      </w:pPr>
    </w:p>
    <w:p w14:paraId="09673FB4" w14:textId="77777777" w:rsidR="005B6A19" w:rsidRDefault="005B6A19" w:rsidP="00174F25">
      <w:pPr>
        <w:pStyle w:val="Encabezado"/>
        <w:jc w:val="both"/>
        <w:rPr>
          <w:rFonts w:ascii="Arial Narrow" w:hAnsi="Arial Narrow"/>
          <w:sz w:val="24"/>
          <w:szCs w:val="24"/>
        </w:rPr>
      </w:pPr>
      <w:r w:rsidRPr="007D4A5D">
        <w:rPr>
          <w:rFonts w:ascii="Arial Narrow" w:hAnsi="Arial Narrow"/>
          <w:sz w:val="24"/>
          <w:szCs w:val="24"/>
        </w:rPr>
        <w:t>Ante estos resultados, no se evidencia estrictamente una relación explicita entre la variación de la tasa de interés y la deserción académica de los encuestados.</w:t>
      </w:r>
    </w:p>
    <w:p w14:paraId="2A623909" w14:textId="77777777" w:rsidR="00984D57" w:rsidRPr="007D4A5D" w:rsidRDefault="00984D57" w:rsidP="00174F25">
      <w:pPr>
        <w:pStyle w:val="Encabezado"/>
        <w:jc w:val="both"/>
        <w:rPr>
          <w:rFonts w:ascii="Arial Narrow" w:hAnsi="Arial Narrow"/>
          <w:sz w:val="24"/>
          <w:szCs w:val="24"/>
        </w:rPr>
      </w:pPr>
    </w:p>
    <w:p w14:paraId="59039AA8" w14:textId="77777777" w:rsidR="005B6A19" w:rsidRPr="007D4A5D" w:rsidRDefault="005B6A19" w:rsidP="00174F25">
      <w:pPr>
        <w:pStyle w:val="Encabezado"/>
        <w:jc w:val="both"/>
        <w:rPr>
          <w:rFonts w:ascii="Arial Narrow" w:hAnsi="Arial Narrow"/>
          <w:sz w:val="24"/>
          <w:szCs w:val="24"/>
        </w:rPr>
      </w:pPr>
      <w:r w:rsidRPr="007D4A5D">
        <w:rPr>
          <w:rFonts w:ascii="Arial Narrow" w:hAnsi="Arial Narrow"/>
          <w:sz w:val="24"/>
          <w:szCs w:val="24"/>
        </w:rPr>
        <w:lastRenderedPageBreak/>
        <w:t>Por otra parte, si bien se ha identificado un aumento del 60% durante el mes de febrero en comparación con Febrero en la población vulnerable con relación a su estado de cuenta (pagos realizado, saldo pendiente, desembolsos, entre otros); En lo alusivo a casos crítico que corresponden a situación de vulnerabilidad económica, para Enero del 2025 14.963 población no vulnerable, 10.860 vulnerable, representando un total 25.823 mientras que para el mes de Febrero del 2025 no vulnerables y 17.405 vulnerables, representando un total 30.762. En cuanto a la renovación. Hay un total de 135.805 beneficiarios susceptibles de renovar créditos en 2025-1 y no se reportan rechazos ya que a todos los estudiantes que han solicitado la renovación del respectivo crédito se les respalda la financiación pues hay una garantía de recurso para el 2025.</w:t>
      </w:r>
    </w:p>
    <w:p w14:paraId="7A50F6B2" w14:textId="77777777" w:rsidR="005B6A19" w:rsidRPr="007D4A5D" w:rsidRDefault="005B6A19" w:rsidP="00174F25">
      <w:pPr>
        <w:pStyle w:val="Encabezado"/>
        <w:jc w:val="both"/>
        <w:rPr>
          <w:rFonts w:ascii="Arial Narrow" w:hAnsi="Arial Narrow"/>
          <w:sz w:val="24"/>
          <w:szCs w:val="24"/>
        </w:rPr>
      </w:pPr>
    </w:p>
    <w:p w14:paraId="0F14F870" w14:textId="77777777" w:rsidR="005B6A19" w:rsidRDefault="005B6A19" w:rsidP="00174F25">
      <w:pPr>
        <w:pStyle w:val="Encabezado"/>
        <w:jc w:val="both"/>
        <w:rPr>
          <w:rFonts w:ascii="Arial Narrow" w:hAnsi="Arial Narrow"/>
          <w:sz w:val="24"/>
          <w:szCs w:val="24"/>
        </w:rPr>
      </w:pPr>
      <w:r w:rsidRPr="007D4A5D">
        <w:rPr>
          <w:rFonts w:ascii="Arial Narrow" w:hAnsi="Arial Narrow"/>
          <w:sz w:val="24"/>
          <w:szCs w:val="24"/>
        </w:rPr>
        <w:t>A su vez, entre otras acciones que adelanta la entidad para evitar afectaciones están la modificación de requisitos del mérito académico (pruebas SABER 11) ajustados a regiones con el objetivo de la  flexibilización de acceso a crédito educativo, permitiendo puntos de acceso más bajos según resultados diferenciados según los municipios, la oferta de línea de crédito a mediano plazo sin requisitos adicionales para facilitar acceso, así como iniciativas para ampliar la cobertura de oferta educativa con los entes territoriales en el 2022.</w:t>
      </w:r>
    </w:p>
    <w:p w14:paraId="2F5A55D7" w14:textId="77777777" w:rsidR="0051791E" w:rsidRDefault="0051791E" w:rsidP="00174F25">
      <w:pPr>
        <w:pStyle w:val="Encabezado"/>
        <w:jc w:val="both"/>
        <w:rPr>
          <w:rFonts w:ascii="Arial Narrow" w:hAnsi="Arial Narrow"/>
          <w:sz w:val="24"/>
          <w:szCs w:val="24"/>
        </w:rPr>
      </w:pPr>
    </w:p>
    <w:p w14:paraId="71D8A135" w14:textId="77777777" w:rsidR="0051791E" w:rsidRDefault="0051791E" w:rsidP="00174F25">
      <w:pPr>
        <w:pStyle w:val="Encabezado"/>
        <w:jc w:val="both"/>
        <w:rPr>
          <w:rFonts w:ascii="Arial Narrow" w:hAnsi="Arial Narrow"/>
          <w:sz w:val="24"/>
          <w:szCs w:val="24"/>
        </w:rPr>
      </w:pPr>
    </w:p>
    <w:p w14:paraId="7DFA95AE" w14:textId="77777777" w:rsidR="0051791E" w:rsidRPr="007D4A5D" w:rsidRDefault="0051791E" w:rsidP="00174F25">
      <w:pPr>
        <w:pStyle w:val="Encabezado"/>
        <w:jc w:val="both"/>
        <w:rPr>
          <w:rFonts w:ascii="Arial Narrow" w:hAnsi="Arial Narrow"/>
          <w:sz w:val="24"/>
          <w:szCs w:val="24"/>
        </w:rPr>
      </w:pPr>
    </w:p>
    <w:p w14:paraId="305B19F3" w14:textId="77777777" w:rsidR="005B6A19" w:rsidRPr="007D4A5D" w:rsidRDefault="005B6A19" w:rsidP="00174F25">
      <w:pPr>
        <w:pStyle w:val="Encabezado"/>
        <w:jc w:val="both"/>
        <w:rPr>
          <w:rFonts w:ascii="Arial Narrow" w:hAnsi="Arial Narrow"/>
          <w:sz w:val="24"/>
          <w:szCs w:val="24"/>
        </w:rPr>
      </w:pPr>
    </w:p>
    <w:p w14:paraId="31FF39F3" w14:textId="77777777" w:rsidR="005B6A19" w:rsidRPr="007D4A5D" w:rsidRDefault="005B6A19" w:rsidP="00174F25">
      <w:pPr>
        <w:pStyle w:val="Encabezado"/>
        <w:ind w:left="708"/>
        <w:jc w:val="both"/>
        <w:rPr>
          <w:rFonts w:ascii="Arial Narrow" w:hAnsi="Arial Narrow"/>
          <w:b/>
          <w:bCs/>
          <w:sz w:val="24"/>
          <w:szCs w:val="24"/>
        </w:rPr>
      </w:pPr>
      <w:r w:rsidRPr="007D4A5D">
        <w:rPr>
          <w:rFonts w:ascii="Arial Narrow" w:hAnsi="Arial Narrow"/>
          <w:b/>
          <w:bCs/>
          <w:sz w:val="24"/>
          <w:szCs w:val="24"/>
        </w:rPr>
        <w:t>Sostenibilidad financiera del ICETEX</w:t>
      </w:r>
    </w:p>
    <w:p w14:paraId="275EDB5F" w14:textId="77777777" w:rsidR="005B6A19" w:rsidRPr="007D4A5D" w:rsidRDefault="005B6A19" w:rsidP="00174F25">
      <w:pPr>
        <w:pStyle w:val="Encabezado"/>
        <w:jc w:val="both"/>
        <w:rPr>
          <w:rFonts w:ascii="Arial Narrow" w:hAnsi="Arial Narrow"/>
          <w:sz w:val="24"/>
          <w:szCs w:val="24"/>
        </w:rPr>
      </w:pPr>
    </w:p>
    <w:p w14:paraId="7D1298E9" w14:textId="77777777" w:rsidR="005B6A19" w:rsidRPr="007D4A5D" w:rsidRDefault="005B6A19" w:rsidP="00174F25">
      <w:pPr>
        <w:pStyle w:val="Encabezado"/>
        <w:ind w:left="708"/>
        <w:jc w:val="both"/>
        <w:rPr>
          <w:rFonts w:ascii="Arial Narrow" w:hAnsi="Arial Narrow"/>
          <w:sz w:val="24"/>
          <w:szCs w:val="24"/>
        </w:rPr>
      </w:pPr>
      <w:r w:rsidRPr="007D4A5D">
        <w:rPr>
          <w:rFonts w:ascii="Arial Narrow" w:hAnsi="Arial Narrow"/>
          <w:sz w:val="24"/>
          <w:szCs w:val="24"/>
        </w:rPr>
        <w:t>Según la entidad, esta cuenta con plena solidez y estabilidad financiera para la gestión de créditos educativo y el cumplimiento a cabalidad de su misionalidad. Esto respaldado en su Estados financieros en la ratificación de su calificación crediticia por parte de Fitch Ratings, con los grados AAA (col) y F1+(col). También, aclara que dentro de la programación presupuestal se incluye las necesidades de los recursos y las correspondientes asignaciones de la Nación para subsidios de tasa, sostenimiento y condonaciones por graduación y excelencia. Tal mencionada programación es, por supuesto, aprobada por la Junta directiva del ICETEX.</w:t>
      </w:r>
    </w:p>
    <w:p w14:paraId="4D8114D6" w14:textId="77777777" w:rsidR="005B6A19" w:rsidRPr="007D4A5D" w:rsidRDefault="005B6A19" w:rsidP="00174F25">
      <w:pPr>
        <w:pStyle w:val="Encabezado"/>
        <w:ind w:left="708"/>
        <w:jc w:val="both"/>
        <w:rPr>
          <w:rFonts w:ascii="Arial Narrow" w:hAnsi="Arial Narrow"/>
          <w:sz w:val="24"/>
          <w:szCs w:val="24"/>
        </w:rPr>
      </w:pPr>
    </w:p>
    <w:p w14:paraId="6C0928AF" w14:textId="77777777" w:rsidR="005B6A19" w:rsidRPr="007D4A5D" w:rsidRDefault="005B6A19" w:rsidP="00174F25">
      <w:pPr>
        <w:pStyle w:val="Encabezado"/>
        <w:ind w:left="708"/>
        <w:jc w:val="both"/>
        <w:rPr>
          <w:rFonts w:ascii="Arial Narrow" w:hAnsi="Arial Narrow"/>
          <w:b/>
          <w:bCs/>
          <w:color w:val="000000" w:themeColor="text1"/>
          <w:sz w:val="24"/>
          <w:szCs w:val="24"/>
        </w:rPr>
      </w:pPr>
      <w:r w:rsidRPr="007D4A5D">
        <w:rPr>
          <w:rFonts w:ascii="Arial Narrow" w:hAnsi="Arial Narrow"/>
          <w:b/>
          <w:bCs/>
          <w:color w:val="000000" w:themeColor="text1"/>
          <w:sz w:val="24"/>
          <w:szCs w:val="24"/>
        </w:rPr>
        <w:t>Fuentes de financiamiento del ICETEX</w:t>
      </w:r>
    </w:p>
    <w:p w14:paraId="366AC4B3" w14:textId="77777777" w:rsidR="005B6A19" w:rsidRPr="007D4A5D" w:rsidRDefault="005B6A19" w:rsidP="00174F25">
      <w:pPr>
        <w:pStyle w:val="Encabezado"/>
        <w:ind w:left="708"/>
        <w:jc w:val="both"/>
        <w:rPr>
          <w:rFonts w:ascii="Arial Narrow" w:hAnsi="Arial Narrow"/>
          <w:b/>
          <w:bCs/>
          <w:color w:val="000000" w:themeColor="text1"/>
          <w:sz w:val="24"/>
          <w:szCs w:val="24"/>
        </w:rPr>
      </w:pPr>
    </w:p>
    <w:p w14:paraId="3908DC12" w14:textId="0A494703" w:rsidR="005B6A19" w:rsidRPr="007D4A5D" w:rsidRDefault="005B6A19" w:rsidP="00174F25">
      <w:pPr>
        <w:pStyle w:val="Encabezado"/>
        <w:ind w:left="708"/>
        <w:jc w:val="both"/>
        <w:rPr>
          <w:rFonts w:ascii="Arial Narrow" w:hAnsi="Arial Narrow"/>
          <w:sz w:val="24"/>
          <w:szCs w:val="24"/>
        </w:rPr>
      </w:pPr>
      <w:r w:rsidRPr="007D4A5D">
        <w:rPr>
          <w:rFonts w:ascii="Arial Narrow" w:hAnsi="Arial Narrow"/>
          <w:sz w:val="24"/>
          <w:szCs w:val="24"/>
        </w:rPr>
        <w:t xml:space="preserve">Entre las fuentes de financiamiento más adecuadas y eficientes  se identifican fuentes de fondeo que contempla financiamiento externo, interno o de mercados, recursos propios, financiamiento gubernamental, créditos a largo plazo, y  contingentes garantizados tales como: Saldo del crédito con banco mundial 8836-CO, Programa de Emisión y Colocación – PEC, Cuentas Inactivas, Programas U solidaria (Aportes Voluntario de las IES), Posibilidad de Financiamiento de una línea de crédito CAD2 por parte de la Agencia Francesa de Desarrollo, Posible operación de crédito bilateral con la garantía de la Multilateral Investment Guarantee Agency -MIGA a parte del desembolso generado por parte de la Nación. Con el objetivo de garantizar renovaciones crediticias con el ICETEX de 149.461 beneficiarios, estos giros representan alrededor de $4.3 billones para las vigencias 2025 y 2026 respectivamente, contemplando endeudamiento sin comprometer solvencia, liquidez y Gobierno corporativo </w:t>
      </w:r>
      <w:r w:rsidRPr="007D4A5D">
        <w:rPr>
          <w:rFonts w:ascii="Arial Narrow" w:hAnsi="Arial Narrow"/>
          <w:sz w:val="24"/>
          <w:szCs w:val="24"/>
        </w:rPr>
        <w:lastRenderedPageBreak/>
        <w:t>(incluyendo plan de contingencia de liquidez en caso de deterioro de los indicadores)  de acuerdo a los lineamientos del Ministerio de Hacienda y Crédito Público, contemplado en el Código de Propiedad definido en el Decreto 1510 de 2021</w:t>
      </w:r>
      <w:r w:rsidR="007D4A5D" w:rsidRPr="007D4A5D">
        <w:rPr>
          <w:rFonts w:ascii="Arial Narrow" w:hAnsi="Arial Narrow"/>
          <w:sz w:val="24"/>
          <w:szCs w:val="24"/>
        </w:rPr>
        <w:t>.</w:t>
      </w:r>
    </w:p>
    <w:p w14:paraId="7CDB4604" w14:textId="77777777" w:rsidR="005B6A19" w:rsidRPr="007D4A5D" w:rsidRDefault="005B6A19"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532256DF" w14:textId="77777777" w:rsidR="004B1B8B" w:rsidRPr="007D4A5D" w:rsidRDefault="004B1B8B"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6AE9C3FE" w14:textId="648CD87A" w:rsidR="00BC199C" w:rsidRPr="002F06C8" w:rsidRDefault="007D4A5D"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bCs/>
          <w:color w:val="000000"/>
          <w:sz w:val="24"/>
          <w:szCs w:val="24"/>
        </w:rPr>
      </w:pPr>
      <w:r w:rsidRPr="002F06C8">
        <w:rPr>
          <w:rFonts w:ascii="Arial Narrow" w:eastAsia="Arial Narrow" w:hAnsi="Arial Narrow" w:cs="Arial Narrow"/>
          <w:b/>
          <w:bCs/>
          <w:color w:val="000000"/>
          <w:sz w:val="24"/>
          <w:szCs w:val="24"/>
        </w:rPr>
        <w:t xml:space="preserve">COMPETENCIA DE LA COMISIÓN PRIMERA SOBRE ADICIONES, MODIFICACIONES Y </w:t>
      </w:r>
      <w:r w:rsidR="003720D9" w:rsidRPr="002F06C8">
        <w:rPr>
          <w:rFonts w:ascii="Arial Narrow" w:eastAsia="Arial Narrow" w:hAnsi="Arial Narrow" w:cs="Arial Narrow"/>
          <w:b/>
          <w:bCs/>
          <w:color w:val="000000"/>
          <w:sz w:val="24"/>
          <w:szCs w:val="24"/>
        </w:rPr>
        <w:t>TEMAS ALREDEDOR DEL PRESUPUESTO GENERAL DE LA</w:t>
      </w:r>
      <w:r w:rsidR="00BC199C" w:rsidRPr="002F06C8">
        <w:rPr>
          <w:rFonts w:ascii="Arial Narrow" w:eastAsia="Arial Narrow" w:hAnsi="Arial Narrow" w:cs="Arial Narrow"/>
          <w:b/>
          <w:bCs/>
          <w:color w:val="000000"/>
          <w:sz w:val="24"/>
          <w:szCs w:val="24"/>
        </w:rPr>
        <w:t xml:space="preserve"> NACIÓN</w:t>
      </w:r>
      <w:r w:rsidR="001954F6" w:rsidRPr="002F06C8">
        <w:rPr>
          <w:rFonts w:ascii="Arial Narrow" w:eastAsia="Arial Narrow" w:hAnsi="Arial Narrow" w:cs="Arial Narrow"/>
          <w:b/>
          <w:bCs/>
          <w:color w:val="000000"/>
          <w:sz w:val="24"/>
          <w:szCs w:val="24"/>
        </w:rPr>
        <w:t>.</w:t>
      </w:r>
    </w:p>
    <w:p w14:paraId="370D539A" w14:textId="77777777" w:rsidR="001954F6" w:rsidRDefault="001954F6"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3C10AF75" w14:textId="16D4E826" w:rsidR="00573227" w:rsidRPr="00573227" w:rsidRDefault="00573227"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573227">
        <w:rPr>
          <w:rFonts w:ascii="Arial Narrow" w:eastAsia="Arial Narrow" w:hAnsi="Arial Narrow" w:cs="Arial Narrow"/>
          <w:color w:val="000000"/>
          <w:sz w:val="24"/>
          <w:szCs w:val="24"/>
        </w:rPr>
        <w:t xml:space="preserve">En consideración de las disposiciones constitucionales y legales vigentes, la asignación de competencia para la tramitación de proyectos de ley vinculados a las modificaciones del Presupuesto General de la </w:t>
      </w:r>
      <w:r w:rsidR="001954F6" w:rsidRPr="00573227">
        <w:rPr>
          <w:rFonts w:ascii="Arial Narrow" w:eastAsia="Arial Narrow" w:hAnsi="Arial Narrow" w:cs="Arial Narrow"/>
          <w:color w:val="000000"/>
          <w:sz w:val="24"/>
          <w:szCs w:val="24"/>
        </w:rPr>
        <w:t>Nación</w:t>
      </w:r>
      <w:r w:rsidRPr="00573227">
        <w:rPr>
          <w:rFonts w:ascii="Arial Narrow" w:eastAsia="Arial Narrow" w:hAnsi="Arial Narrow" w:cs="Arial Narrow"/>
          <w:color w:val="000000"/>
          <w:sz w:val="24"/>
          <w:szCs w:val="24"/>
        </w:rPr>
        <w:t xml:space="preserve"> debe interpretarse bajo el prisma de la distribución de </w:t>
      </w:r>
      <w:r w:rsidR="001954F6" w:rsidRPr="00573227">
        <w:rPr>
          <w:rFonts w:ascii="Arial Narrow" w:eastAsia="Arial Narrow" w:hAnsi="Arial Narrow" w:cs="Arial Narrow"/>
          <w:color w:val="000000"/>
          <w:sz w:val="24"/>
          <w:szCs w:val="24"/>
        </w:rPr>
        <w:t>funciones y</w:t>
      </w:r>
      <w:r w:rsidRPr="00573227">
        <w:rPr>
          <w:rFonts w:ascii="Arial Narrow" w:eastAsia="Arial Narrow" w:hAnsi="Arial Narrow" w:cs="Arial Narrow"/>
          <w:color w:val="000000"/>
          <w:sz w:val="24"/>
          <w:szCs w:val="24"/>
        </w:rPr>
        <w:t xml:space="preserve"> de las competencias específicas de las instancias legislativas definidas particularmente en la ley 3 de 1992 en lo concerniente a las normas de las comisiones del Congreso de Colombia. </w:t>
      </w:r>
      <w:r w:rsidR="001954F6" w:rsidRPr="00573227">
        <w:rPr>
          <w:rFonts w:ascii="Arial Narrow" w:eastAsia="Arial Narrow" w:hAnsi="Arial Narrow" w:cs="Arial Narrow"/>
          <w:color w:val="000000"/>
          <w:sz w:val="24"/>
          <w:szCs w:val="24"/>
        </w:rPr>
        <w:t>Específicamente</w:t>
      </w:r>
      <w:r w:rsidRPr="00573227">
        <w:rPr>
          <w:rFonts w:ascii="Arial Narrow" w:eastAsia="Arial Narrow" w:hAnsi="Arial Narrow" w:cs="Arial Narrow"/>
          <w:color w:val="000000"/>
          <w:sz w:val="24"/>
          <w:szCs w:val="24"/>
        </w:rPr>
        <w:t xml:space="preserve"> en el </w:t>
      </w:r>
      <w:r w:rsidR="001954F6" w:rsidRPr="00573227">
        <w:rPr>
          <w:rFonts w:ascii="Arial Narrow" w:eastAsia="Arial Narrow" w:hAnsi="Arial Narrow" w:cs="Arial Narrow"/>
          <w:color w:val="000000"/>
          <w:sz w:val="24"/>
          <w:szCs w:val="24"/>
        </w:rPr>
        <w:t>Capítulo</w:t>
      </w:r>
      <w:r w:rsidRPr="00573227">
        <w:rPr>
          <w:rFonts w:ascii="Arial Narrow" w:eastAsia="Arial Narrow" w:hAnsi="Arial Narrow" w:cs="Arial Narrow"/>
          <w:color w:val="000000"/>
          <w:sz w:val="24"/>
          <w:szCs w:val="24"/>
        </w:rPr>
        <w:t xml:space="preserve"> II dedicado a el funcionamiento, composición y competencia de las comisiones constitucionales:</w:t>
      </w:r>
    </w:p>
    <w:p w14:paraId="05E73065" w14:textId="77777777" w:rsidR="00573227" w:rsidRPr="00573227" w:rsidRDefault="00573227"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4F804385" w14:textId="64EF3A7A" w:rsidR="00573227" w:rsidRPr="00573227" w:rsidRDefault="001954F6"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rPr>
      </w:pPr>
      <w:r>
        <w:rPr>
          <w:rFonts w:ascii="Arial Narrow" w:eastAsia="Arial Narrow" w:hAnsi="Arial Narrow" w:cs="Arial Narrow"/>
          <w:color w:val="000000"/>
          <w:sz w:val="24"/>
          <w:szCs w:val="24"/>
        </w:rPr>
        <w:t>“</w:t>
      </w:r>
      <w:r w:rsidR="00573227" w:rsidRPr="001954F6">
        <w:rPr>
          <w:rFonts w:ascii="Arial Narrow" w:eastAsia="Arial Narrow" w:hAnsi="Arial Narrow" w:cs="Arial Narrow"/>
          <w:b/>
          <w:bCs/>
          <w:i/>
          <w:iCs/>
          <w:color w:val="000000"/>
        </w:rPr>
        <w:t>Comisión Cuarta</w:t>
      </w:r>
      <w:r w:rsidR="00573227" w:rsidRPr="00573227">
        <w:rPr>
          <w:rFonts w:ascii="Arial Narrow" w:eastAsia="Arial Narrow" w:hAnsi="Arial Narrow" w:cs="Arial Narrow"/>
          <w:i/>
          <w:iCs/>
          <w:color w:val="000000"/>
        </w:rPr>
        <w:t>.</w:t>
      </w:r>
    </w:p>
    <w:p w14:paraId="06AB35CA" w14:textId="331EEFDA" w:rsidR="00573227" w:rsidRPr="00573227" w:rsidRDefault="00573227"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573227">
        <w:rPr>
          <w:rFonts w:ascii="Arial Narrow" w:eastAsia="Arial Narrow" w:hAnsi="Arial Narrow" w:cs="Arial Narrow"/>
          <w:i/>
          <w:iCs/>
          <w:color w:val="000000"/>
          <w:sz w:val="24"/>
          <w:szCs w:val="24"/>
        </w:rPr>
        <w:t xml:space="preserve"> Compuesta de quince (15) miembros en el Senado y veintisiete (27) miembros en la Cámara de Representantes, conocerá de: leyes orgánicas de presupuesto; sistema de control fiscal financiero; enajenación y destinación de bienes nacionales; regulación del régimen de propiedad industrial, patentes y marcas; creación, supresión, reforma u organización de establecimientos públicos </w:t>
      </w:r>
      <w:r w:rsidRPr="00573227">
        <w:rPr>
          <w:rFonts w:ascii="Arial Narrow" w:eastAsia="Arial Narrow" w:hAnsi="Arial Narrow" w:cs="Arial Narrow"/>
          <w:i/>
          <w:iCs/>
          <w:color w:val="000000"/>
          <w:sz w:val="24"/>
          <w:szCs w:val="24"/>
        </w:rPr>
        <w:t>nacionales</w:t>
      </w:r>
      <w:r w:rsidRPr="00573227">
        <w:rPr>
          <w:rFonts w:ascii="Arial Narrow" w:eastAsia="Arial Narrow" w:hAnsi="Arial Narrow" w:cs="Arial Narrow"/>
          <w:i/>
          <w:iCs/>
          <w:color w:val="000000"/>
          <w:sz w:val="24"/>
          <w:szCs w:val="24"/>
        </w:rPr>
        <w:t xml:space="preserve"> s; control de calidad y precios y contratación administrativa.</w:t>
      </w:r>
      <w:r w:rsidRPr="00573227">
        <w:rPr>
          <w:rFonts w:ascii="Arial Narrow" w:eastAsia="Arial Narrow" w:hAnsi="Arial Narrow" w:cs="Arial Narrow"/>
          <w:i/>
          <w:iCs/>
          <w:color w:val="000000"/>
          <w:sz w:val="24"/>
          <w:szCs w:val="24"/>
        </w:rPr>
        <w:t>”</w:t>
      </w:r>
    </w:p>
    <w:p w14:paraId="6FA339D5" w14:textId="713B2C25" w:rsidR="00573227" w:rsidRPr="001954F6" w:rsidRDefault="00573227"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4003F5DF" w14:textId="7F24F82F" w:rsidR="001954F6" w:rsidRPr="001954F6" w:rsidRDefault="001954F6"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1954F6">
        <w:rPr>
          <w:rFonts w:ascii="Arial Narrow" w:eastAsia="Arial Narrow" w:hAnsi="Arial Narrow" w:cs="Arial Narrow"/>
          <w:color w:val="000000"/>
          <w:sz w:val="24"/>
          <w:szCs w:val="24"/>
        </w:rPr>
        <w:t>Mientras que:</w:t>
      </w:r>
    </w:p>
    <w:p w14:paraId="3D8712D9" w14:textId="77777777" w:rsidR="001954F6" w:rsidRDefault="001954F6" w:rsidP="00174F25">
      <w:pPr>
        <w:pBdr>
          <w:top w:val="nil"/>
          <w:left w:val="nil"/>
          <w:bottom w:val="nil"/>
          <w:right w:val="nil"/>
          <w:between w:val="nil"/>
        </w:pBdr>
        <w:spacing w:after="0" w:line="240" w:lineRule="auto"/>
        <w:jc w:val="both"/>
        <w:rPr>
          <w:rFonts w:ascii="Arial Narrow" w:eastAsia="Arial Narrow" w:hAnsi="Arial Narrow" w:cs="Arial Narrow"/>
          <w:i/>
          <w:iCs/>
          <w:color w:val="000000"/>
          <w:sz w:val="24"/>
          <w:szCs w:val="24"/>
        </w:rPr>
      </w:pPr>
    </w:p>
    <w:p w14:paraId="2653D0BB" w14:textId="00883341" w:rsidR="001954F6" w:rsidRPr="001954F6" w:rsidRDefault="001954F6"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rPr>
      </w:pPr>
      <w:r>
        <w:rPr>
          <w:rFonts w:ascii="Arial Narrow" w:eastAsia="Arial Narrow" w:hAnsi="Arial Narrow" w:cs="Arial Narrow"/>
          <w:i/>
          <w:iCs/>
          <w:color w:val="000000"/>
          <w:sz w:val="24"/>
          <w:szCs w:val="24"/>
        </w:rPr>
        <w:t xml:space="preserve"> “</w:t>
      </w:r>
      <w:r w:rsidRPr="001954F6">
        <w:rPr>
          <w:rFonts w:ascii="Arial Narrow" w:eastAsia="Arial Narrow" w:hAnsi="Arial Narrow" w:cs="Arial Narrow"/>
          <w:b/>
          <w:bCs/>
          <w:i/>
          <w:iCs/>
          <w:color w:val="000000"/>
        </w:rPr>
        <w:t>Comisión Primera.</w:t>
      </w:r>
      <w:r w:rsidRPr="001954F6">
        <w:rPr>
          <w:rFonts w:ascii="Arial Narrow" w:eastAsia="Arial Narrow" w:hAnsi="Arial Narrow" w:cs="Arial Narrow"/>
          <w:i/>
          <w:iCs/>
          <w:color w:val="000000"/>
        </w:rPr>
        <w:t xml:space="preserve">  </w:t>
      </w:r>
    </w:p>
    <w:p w14:paraId="787B69ED" w14:textId="46F10F6C" w:rsidR="001954F6" w:rsidRDefault="001954F6"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1954F6">
        <w:rPr>
          <w:rFonts w:ascii="Arial Narrow" w:eastAsia="Arial Narrow" w:hAnsi="Arial Narrow" w:cs="Arial Narrow"/>
          <w:i/>
          <w:iCs/>
          <w:color w:val="000000"/>
          <w:sz w:val="24"/>
          <w:szCs w:val="24"/>
        </w:rPr>
        <w:t>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r>
        <w:rPr>
          <w:rFonts w:ascii="Arial Narrow" w:eastAsia="Arial Narrow" w:hAnsi="Arial Narrow" w:cs="Arial Narrow"/>
          <w:i/>
          <w:iCs/>
          <w:color w:val="000000"/>
          <w:sz w:val="24"/>
          <w:szCs w:val="24"/>
        </w:rPr>
        <w:t>”</w:t>
      </w:r>
    </w:p>
    <w:p w14:paraId="703E79DE" w14:textId="77777777" w:rsidR="001954F6" w:rsidRPr="00AA2225" w:rsidRDefault="001954F6"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5FD9BEC0" w14:textId="77777777" w:rsidR="00984D57" w:rsidRDefault="001954F6"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AA2225">
        <w:rPr>
          <w:rFonts w:ascii="Arial Narrow" w:eastAsia="Arial Narrow" w:hAnsi="Arial Narrow" w:cs="Arial Narrow"/>
          <w:color w:val="000000"/>
          <w:sz w:val="24"/>
          <w:szCs w:val="24"/>
        </w:rPr>
        <w:t xml:space="preserve">Así las cosas, y en armonía con cumplimiento estricto de los asuntos de competencia de cada una de las comisiones constitucionales, la temática de la iniciativa legislativa en cuestión, implica una modificación en el presupuesto general de la Nación, lo cual pertenece en primera instancia a competencia especifica de la Comisión Cuarta en materia de atribuir a las erogaciones presupuestales una nueva dimensión de financiación al ICETEX, toda vez que la organización del gasto público, la aprobación del presupuesto y las modificaciones presupuestales deben surtir su tramite por dicha comisión especializada y enfocada en la materia. </w:t>
      </w:r>
    </w:p>
    <w:p w14:paraId="6FD87854" w14:textId="77777777" w:rsidR="00984D57" w:rsidRDefault="00984D57"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580C0D42" w14:textId="77777777" w:rsidR="0051791E" w:rsidRDefault="001954F6"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AA2225">
        <w:rPr>
          <w:rFonts w:ascii="Arial Narrow" w:eastAsia="Arial Narrow" w:hAnsi="Arial Narrow" w:cs="Arial Narrow"/>
          <w:color w:val="000000"/>
          <w:sz w:val="24"/>
          <w:szCs w:val="24"/>
        </w:rPr>
        <w:lastRenderedPageBreak/>
        <w:t xml:space="preserve">En la lógica de estos perceptos, es otra </w:t>
      </w:r>
      <w:r w:rsidR="00AA2225" w:rsidRPr="00AA2225">
        <w:rPr>
          <w:rFonts w:ascii="Arial Narrow" w:eastAsia="Arial Narrow" w:hAnsi="Arial Narrow" w:cs="Arial Narrow"/>
          <w:color w:val="000000"/>
          <w:sz w:val="24"/>
          <w:szCs w:val="24"/>
        </w:rPr>
        <w:t>corporación</w:t>
      </w:r>
      <w:r w:rsidRPr="00AA2225">
        <w:rPr>
          <w:rFonts w:ascii="Arial Narrow" w:eastAsia="Arial Narrow" w:hAnsi="Arial Narrow" w:cs="Arial Narrow"/>
          <w:color w:val="000000"/>
          <w:sz w:val="24"/>
          <w:szCs w:val="24"/>
        </w:rPr>
        <w:t xml:space="preserve"> la habilitada para tramitar temas de esta naturaleza, </w:t>
      </w:r>
      <w:r w:rsidR="00AA2225" w:rsidRPr="00AA2225">
        <w:rPr>
          <w:rFonts w:ascii="Arial Narrow" w:eastAsia="Arial Narrow" w:hAnsi="Arial Narrow" w:cs="Arial Narrow"/>
          <w:color w:val="000000"/>
          <w:sz w:val="24"/>
          <w:szCs w:val="24"/>
        </w:rPr>
        <w:t>puesto</w:t>
      </w:r>
      <w:r w:rsidRPr="00AA2225">
        <w:rPr>
          <w:rFonts w:ascii="Arial Narrow" w:eastAsia="Arial Narrow" w:hAnsi="Arial Narrow" w:cs="Arial Narrow"/>
          <w:color w:val="000000"/>
          <w:sz w:val="24"/>
          <w:szCs w:val="24"/>
        </w:rPr>
        <w:t xml:space="preserve"> que incluso estas disposiciones en especial el artículo 5 y 6 del proyecto de ley, sostiene en todo su esplendor el cumplimiento y la garantía del cumplimiento de su mismo objeto, constituyendo consigo </w:t>
      </w:r>
      <w:r w:rsidR="00AA2225" w:rsidRPr="00AA2225">
        <w:rPr>
          <w:rFonts w:ascii="Arial Narrow" w:eastAsia="Arial Narrow" w:hAnsi="Arial Narrow" w:cs="Arial Narrow"/>
          <w:color w:val="000000"/>
          <w:sz w:val="24"/>
          <w:szCs w:val="24"/>
        </w:rPr>
        <w:t xml:space="preserve">la columna vertebral de la propuesta legislativa. </w:t>
      </w:r>
    </w:p>
    <w:p w14:paraId="0F69009F" w14:textId="77777777" w:rsidR="0051791E" w:rsidRDefault="0051791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34260874" w14:textId="71E48375" w:rsidR="00183D77" w:rsidRDefault="00AA2225"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AA2225">
        <w:rPr>
          <w:rFonts w:ascii="Arial Narrow" w:eastAsia="Arial Narrow" w:hAnsi="Arial Narrow" w:cs="Arial Narrow"/>
          <w:color w:val="000000"/>
          <w:sz w:val="24"/>
          <w:szCs w:val="24"/>
        </w:rPr>
        <w:t xml:space="preserve">El </w:t>
      </w:r>
      <w:r w:rsidR="0051791E" w:rsidRPr="00AA2225">
        <w:rPr>
          <w:rFonts w:ascii="Arial Narrow" w:eastAsia="Arial Narrow" w:hAnsi="Arial Narrow" w:cs="Arial Narrow"/>
          <w:color w:val="000000"/>
          <w:sz w:val="24"/>
          <w:szCs w:val="24"/>
        </w:rPr>
        <w:t>trámite</w:t>
      </w:r>
      <w:r w:rsidRPr="00AA2225">
        <w:rPr>
          <w:rFonts w:ascii="Arial Narrow" w:eastAsia="Arial Narrow" w:hAnsi="Arial Narrow" w:cs="Arial Narrow"/>
          <w:color w:val="000000"/>
          <w:sz w:val="24"/>
          <w:szCs w:val="24"/>
        </w:rPr>
        <w:t xml:space="preserve"> por </w:t>
      </w:r>
      <w:r w:rsidR="0051791E">
        <w:rPr>
          <w:rFonts w:ascii="Arial Narrow" w:eastAsia="Arial Narrow" w:hAnsi="Arial Narrow" w:cs="Arial Narrow"/>
          <w:color w:val="000000"/>
          <w:sz w:val="24"/>
          <w:szCs w:val="24"/>
        </w:rPr>
        <w:t>C</w:t>
      </w:r>
      <w:r w:rsidRPr="00AA2225">
        <w:rPr>
          <w:rFonts w:ascii="Arial Narrow" w:eastAsia="Arial Narrow" w:hAnsi="Arial Narrow" w:cs="Arial Narrow"/>
          <w:color w:val="000000"/>
          <w:sz w:val="24"/>
          <w:szCs w:val="24"/>
        </w:rPr>
        <w:t xml:space="preserve">omisión </w:t>
      </w:r>
      <w:r w:rsidR="0051791E">
        <w:rPr>
          <w:rFonts w:ascii="Arial Narrow" w:eastAsia="Arial Narrow" w:hAnsi="Arial Narrow" w:cs="Arial Narrow"/>
          <w:color w:val="000000"/>
          <w:sz w:val="24"/>
          <w:szCs w:val="24"/>
        </w:rPr>
        <w:t>C</w:t>
      </w:r>
      <w:r w:rsidRPr="00AA2225">
        <w:rPr>
          <w:rFonts w:ascii="Arial Narrow" w:eastAsia="Arial Narrow" w:hAnsi="Arial Narrow" w:cs="Arial Narrow"/>
          <w:color w:val="000000"/>
          <w:sz w:val="24"/>
          <w:szCs w:val="24"/>
        </w:rPr>
        <w:t>uarta</w:t>
      </w:r>
      <w:r w:rsidR="0051791E">
        <w:rPr>
          <w:rFonts w:ascii="Arial Narrow" w:eastAsia="Arial Narrow" w:hAnsi="Arial Narrow" w:cs="Arial Narrow"/>
          <w:color w:val="000000"/>
          <w:sz w:val="24"/>
          <w:szCs w:val="24"/>
        </w:rPr>
        <w:t xml:space="preserve"> de Cámara de Representantes</w:t>
      </w:r>
      <w:r w:rsidRPr="00AA2225">
        <w:rPr>
          <w:rFonts w:ascii="Arial Narrow" w:eastAsia="Arial Narrow" w:hAnsi="Arial Narrow" w:cs="Arial Narrow"/>
          <w:color w:val="000000"/>
          <w:sz w:val="24"/>
          <w:szCs w:val="24"/>
        </w:rPr>
        <w:t xml:space="preserve"> también iría en línea con los principios </w:t>
      </w:r>
      <w:r>
        <w:rPr>
          <w:rFonts w:ascii="Arial Narrow" w:eastAsia="Arial Narrow" w:hAnsi="Arial Narrow" w:cs="Arial Narrow"/>
          <w:color w:val="000000"/>
          <w:sz w:val="24"/>
          <w:szCs w:val="24"/>
        </w:rPr>
        <w:t>que están inmersos en el Estatuto Orgánico del Presupuesto Nacional ya que cualquier modificació</w:t>
      </w:r>
      <w:r w:rsidR="005D4456">
        <w:rPr>
          <w:rFonts w:ascii="Arial Narrow" w:eastAsia="Arial Narrow" w:hAnsi="Arial Narrow" w:cs="Arial Narrow"/>
          <w:color w:val="000000"/>
          <w:sz w:val="24"/>
          <w:szCs w:val="24"/>
        </w:rPr>
        <w:t xml:space="preserve">n y manejo especial </w:t>
      </w:r>
      <w:r>
        <w:rPr>
          <w:rFonts w:ascii="Arial Narrow" w:eastAsia="Arial Narrow" w:hAnsi="Arial Narrow" w:cs="Arial Narrow"/>
          <w:color w:val="000000"/>
          <w:sz w:val="24"/>
          <w:szCs w:val="24"/>
        </w:rPr>
        <w:t>de las asignaciones presupuestales, deben atender la planeación, anualidad, universalidad, unidad de caja, programación integral, especialización e inembargabilidad</w:t>
      </w:r>
      <w:r w:rsidR="005D4456">
        <w:rPr>
          <w:rFonts w:ascii="Arial Narrow" w:eastAsia="Arial Narrow" w:hAnsi="Arial Narrow" w:cs="Arial Narrow"/>
          <w:color w:val="000000"/>
          <w:sz w:val="24"/>
          <w:szCs w:val="24"/>
        </w:rPr>
        <w:t xml:space="preserve">, justamente en la proporcionalidad de que estas acciones dependen directamente de los recursos públicos otorgados por el Estado, es decir, que el financiamiento del ICETEX a cargo de la nación y el fortalecimiento de la capacidad financiera son propuestas que </w:t>
      </w:r>
      <w:r w:rsidR="005D4456" w:rsidRPr="005D4456">
        <w:rPr>
          <w:rFonts w:ascii="Arial Narrow" w:eastAsia="Arial Narrow" w:hAnsi="Arial Narrow" w:cs="Arial Narrow"/>
          <w:color w:val="000000"/>
          <w:sz w:val="24"/>
          <w:szCs w:val="24"/>
        </w:rPr>
        <w:t>debe</w:t>
      </w:r>
      <w:r w:rsidR="005D4456">
        <w:rPr>
          <w:rFonts w:ascii="Arial Narrow" w:eastAsia="Arial Narrow" w:hAnsi="Arial Narrow" w:cs="Arial Narrow"/>
          <w:color w:val="000000"/>
          <w:sz w:val="24"/>
          <w:szCs w:val="24"/>
        </w:rPr>
        <w:t>n</w:t>
      </w:r>
      <w:r w:rsidR="005D4456" w:rsidRPr="005D4456">
        <w:rPr>
          <w:rFonts w:ascii="Arial Narrow" w:eastAsia="Arial Narrow" w:hAnsi="Arial Narrow" w:cs="Arial Narrow"/>
          <w:color w:val="000000"/>
          <w:sz w:val="24"/>
          <w:szCs w:val="24"/>
        </w:rPr>
        <w:t xml:space="preserve"> ser debatida</w:t>
      </w:r>
      <w:r w:rsidR="005D4456">
        <w:rPr>
          <w:rFonts w:ascii="Arial Narrow" w:eastAsia="Arial Narrow" w:hAnsi="Arial Narrow" w:cs="Arial Narrow"/>
          <w:color w:val="000000"/>
          <w:sz w:val="24"/>
          <w:szCs w:val="24"/>
        </w:rPr>
        <w:t>s</w:t>
      </w:r>
      <w:r w:rsidR="005D4456" w:rsidRPr="005D4456">
        <w:rPr>
          <w:rFonts w:ascii="Arial Narrow" w:eastAsia="Arial Narrow" w:hAnsi="Arial Narrow" w:cs="Arial Narrow"/>
          <w:color w:val="000000"/>
          <w:sz w:val="24"/>
          <w:szCs w:val="24"/>
        </w:rPr>
        <w:t xml:space="preserve"> y votada</w:t>
      </w:r>
      <w:r w:rsidR="005D4456">
        <w:rPr>
          <w:rFonts w:ascii="Arial Narrow" w:eastAsia="Arial Narrow" w:hAnsi="Arial Narrow" w:cs="Arial Narrow"/>
          <w:color w:val="000000"/>
          <w:sz w:val="24"/>
          <w:szCs w:val="24"/>
        </w:rPr>
        <w:t>s</w:t>
      </w:r>
      <w:r w:rsidR="005D4456" w:rsidRPr="005D4456">
        <w:rPr>
          <w:rFonts w:ascii="Arial Narrow" w:eastAsia="Arial Narrow" w:hAnsi="Arial Narrow" w:cs="Arial Narrow"/>
          <w:color w:val="000000"/>
          <w:sz w:val="24"/>
          <w:szCs w:val="24"/>
        </w:rPr>
        <w:t xml:space="preserve"> en una Comisión Constitucional Permanente del Congreso que sea competente en el tem</w:t>
      </w:r>
      <w:r w:rsidR="005D4456">
        <w:rPr>
          <w:rFonts w:ascii="Arial Narrow" w:eastAsia="Arial Narrow" w:hAnsi="Arial Narrow" w:cs="Arial Narrow"/>
          <w:color w:val="000000"/>
          <w:sz w:val="24"/>
          <w:szCs w:val="24"/>
        </w:rPr>
        <w:t xml:space="preserve">a, por lo cual, </w:t>
      </w:r>
      <w:r w:rsidR="005D4456" w:rsidRPr="005D4456">
        <w:rPr>
          <w:rFonts w:ascii="Arial Narrow" w:eastAsia="Arial Narrow" w:hAnsi="Arial Narrow" w:cs="Arial Narrow"/>
          <w:color w:val="000000"/>
          <w:sz w:val="24"/>
          <w:szCs w:val="24"/>
        </w:rPr>
        <w:t>el proyecto de ley en estudio debe ser dilucidado bajo los ámbitos de competencia</w:t>
      </w:r>
      <w:r w:rsidR="005D4456">
        <w:rPr>
          <w:rFonts w:ascii="Arial Narrow" w:eastAsia="Arial Narrow" w:hAnsi="Arial Narrow" w:cs="Arial Narrow"/>
          <w:color w:val="000000"/>
          <w:sz w:val="24"/>
          <w:szCs w:val="24"/>
        </w:rPr>
        <w:t xml:space="preserve"> </w:t>
      </w:r>
      <w:r w:rsidR="005D4456" w:rsidRPr="005D4456">
        <w:rPr>
          <w:rFonts w:ascii="Arial Narrow" w:eastAsia="Arial Narrow" w:hAnsi="Arial Narrow" w:cs="Arial Narrow"/>
          <w:color w:val="000000"/>
          <w:sz w:val="24"/>
          <w:szCs w:val="24"/>
        </w:rPr>
        <w:t>establecidos en el Reglamento del Congreso y la Ley 3ª de 1992, en la Comisión Cuart</w:t>
      </w:r>
      <w:r w:rsidR="005D4456">
        <w:rPr>
          <w:rFonts w:ascii="Arial Narrow" w:eastAsia="Arial Narrow" w:hAnsi="Arial Narrow" w:cs="Arial Narrow"/>
          <w:color w:val="000000"/>
          <w:sz w:val="24"/>
          <w:szCs w:val="24"/>
        </w:rPr>
        <w:t xml:space="preserve"> </w:t>
      </w:r>
      <w:r w:rsidR="005D4456" w:rsidRPr="005D4456">
        <w:rPr>
          <w:rFonts w:ascii="Arial Narrow" w:eastAsia="Arial Narrow" w:hAnsi="Arial Narrow" w:cs="Arial Narrow"/>
          <w:color w:val="000000"/>
          <w:sz w:val="24"/>
          <w:szCs w:val="24"/>
        </w:rPr>
        <w:t>Constitucional Permanente</w:t>
      </w:r>
      <w:r w:rsidR="00183D77">
        <w:rPr>
          <w:rFonts w:ascii="Arial Narrow" w:eastAsia="Arial Narrow" w:hAnsi="Arial Narrow" w:cs="Arial Narrow"/>
          <w:color w:val="000000"/>
          <w:sz w:val="24"/>
          <w:szCs w:val="24"/>
        </w:rPr>
        <w:t>.</w:t>
      </w:r>
    </w:p>
    <w:p w14:paraId="6F8907CB" w14:textId="77777777" w:rsidR="00183D77" w:rsidRDefault="00183D77"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29ED372E" w14:textId="34B3CCE6" w:rsidR="001954F6" w:rsidRDefault="00183D77"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Simultáneamente a lo anteriormente mencionado, </w:t>
      </w:r>
      <w:r w:rsidRPr="00183D77">
        <w:rPr>
          <w:rFonts w:ascii="Arial Narrow" w:eastAsia="Arial Narrow" w:hAnsi="Arial Narrow" w:cs="Arial Narrow"/>
          <w:color w:val="000000"/>
          <w:sz w:val="24"/>
          <w:szCs w:val="24"/>
        </w:rPr>
        <w:t xml:space="preserve">la Comisión Primera no </w:t>
      </w:r>
      <w:r>
        <w:rPr>
          <w:rFonts w:ascii="Arial Narrow" w:eastAsia="Arial Narrow" w:hAnsi="Arial Narrow" w:cs="Arial Narrow"/>
          <w:color w:val="000000"/>
          <w:sz w:val="24"/>
          <w:szCs w:val="24"/>
        </w:rPr>
        <w:t>sería</w:t>
      </w:r>
      <w:r w:rsidRPr="00183D77">
        <w:rPr>
          <w:rFonts w:ascii="Arial Narrow" w:eastAsia="Arial Narrow" w:hAnsi="Arial Narrow" w:cs="Arial Narrow"/>
          <w:color w:val="000000"/>
          <w:sz w:val="24"/>
          <w:szCs w:val="24"/>
        </w:rPr>
        <w:t xml:space="preserve"> la instancia competente para conocer proyectos de ley que modifican las partidas presupuestales del Presupuesto General de la Nación</w:t>
      </w:r>
      <w:r>
        <w:rPr>
          <w:rFonts w:ascii="Arial Narrow" w:eastAsia="Arial Narrow" w:hAnsi="Arial Narrow" w:cs="Arial Narrow"/>
          <w:color w:val="000000"/>
          <w:sz w:val="24"/>
          <w:szCs w:val="24"/>
        </w:rPr>
        <w:t>; l</w:t>
      </w:r>
      <w:r w:rsidRPr="00183D77">
        <w:rPr>
          <w:rFonts w:ascii="Arial Narrow" w:eastAsia="Arial Narrow" w:hAnsi="Arial Narrow" w:cs="Arial Narrow"/>
          <w:color w:val="000000"/>
          <w:sz w:val="24"/>
          <w:szCs w:val="24"/>
        </w:rPr>
        <w:t>a referencia a la competencia de la Comisión Primera en aspectos constitucionales, leyes estatutarias, organización territorial y derechos fundamentales no implica, necesariamente, una competencia general en el trámite de reformas relacionadas con el gasto público, la cual debe ser interpret</w:t>
      </w:r>
      <w:r>
        <w:rPr>
          <w:rFonts w:ascii="Arial Narrow" w:eastAsia="Arial Narrow" w:hAnsi="Arial Narrow" w:cs="Arial Narrow"/>
          <w:color w:val="000000"/>
          <w:sz w:val="24"/>
          <w:szCs w:val="24"/>
        </w:rPr>
        <w:t xml:space="preserve">ada a la luz de </w:t>
      </w:r>
      <w:r w:rsidRPr="00183D77">
        <w:rPr>
          <w:rFonts w:ascii="Arial Narrow" w:eastAsia="Arial Narrow" w:hAnsi="Arial Narrow" w:cs="Arial Narrow"/>
          <w:color w:val="000000"/>
          <w:sz w:val="24"/>
          <w:szCs w:val="24"/>
        </w:rPr>
        <w:t>especialmente la Ley 3 de 1992</w:t>
      </w:r>
      <w:r>
        <w:rPr>
          <w:rFonts w:ascii="Arial Narrow" w:eastAsia="Arial Narrow" w:hAnsi="Arial Narrow" w:cs="Arial Narrow"/>
          <w:color w:val="000000"/>
          <w:sz w:val="24"/>
          <w:szCs w:val="24"/>
        </w:rPr>
        <w:t xml:space="preserve"> para no incurrir en vicios de trámite.</w:t>
      </w:r>
    </w:p>
    <w:p w14:paraId="1D605B4E" w14:textId="77777777" w:rsidR="00984D57" w:rsidRPr="001954F6" w:rsidRDefault="00984D57"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21C4CE40" w14:textId="77777777" w:rsidR="00BC199C" w:rsidRDefault="00BC199C"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76DC010C" w14:textId="70535AD7" w:rsidR="007D4936" w:rsidRPr="002F06C8" w:rsidRDefault="00BC199C"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bCs/>
          <w:color w:val="000000"/>
          <w:sz w:val="24"/>
          <w:szCs w:val="24"/>
        </w:rPr>
      </w:pPr>
      <w:bookmarkStart w:id="2" w:name="_Hlk199933609"/>
      <w:r w:rsidRPr="002F06C8">
        <w:rPr>
          <w:rFonts w:ascii="Arial Narrow" w:eastAsia="Arial Narrow" w:hAnsi="Arial Narrow" w:cs="Arial Narrow"/>
          <w:b/>
          <w:bCs/>
          <w:color w:val="000000"/>
          <w:sz w:val="24"/>
          <w:szCs w:val="24"/>
        </w:rPr>
        <w:t>SOBRE EL PAGO CONTINGENTE AL INGRESO</w:t>
      </w:r>
      <w:r w:rsidR="00F817C5" w:rsidRPr="002F06C8">
        <w:rPr>
          <w:rFonts w:ascii="Arial Narrow" w:eastAsia="Arial Narrow" w:hAnsi="Arial Narrow" w:cs="Arial Narrow"/>
          <w:b/>
          <w:bCs/>
          <w:color w:val="000000"/>
          <w:sz w:val="24"/>
          <w:szCs w:val="24"/>
        </w:rPr>
        <w:t xml:space="preserve"> </w:t>
      </w:r>
      <w:r w:rsidR="002F06C8">
        <w:rPr>
          <w:rFonts w:ascii="Arial Narrow" w:eastAsia="Arial Narrow" w:hAnsi="Arial Narrow" w:cs="Arial Narrow"/>
          <w:b/>
          <w:bCs/>
          <w:color w:val="000000"/>
          <w:sz w:val="24"/>
          <w:szCs w:val="24"/>
        </w:rPr>
        <w:t xml:space="preserve">Y </w:t>
      </w:r>
      <w:r w:rsidR="00F817C5" w:rsidRPr="002F06C8">
        <w:rPr>
          <w:rFonts w:ascii="Arial Narrow" w:eastAsia="Arial Narrow" w:hAnsi="Arial Narrow" w:cs="Arial Narrow"/>
          <w:b/>
          <w:bCs/>
          <w:color w:val="000000"/>
          <w:sz w:val="24"/>
          <w:szCs w:val="24"/>
        </w:rPr>
        <w:t>LA POLÍTICA DE CONDONACIONES</w:t>
      </w:r>
    </w:p>
    <w:bookmarkEnd w:id="2"/>
    <w:p w14:paraId="06AB46BD" w14:textId="77777777" w:rsidR="007D4936" w:rsidRDefault="007D4936"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00BAA4FE" w14:textId="33A110EC" w:rsidR="00183D77" w:rsidRDefault="007D4936"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817C5">
        <w:rPr>
          <w:rFonts w:ascii="Arial Narrow" w:eastAsia="Arial Narrow" w:hAnsi="Arial Narrow" w:cs="Arial Narrow"/>
          <w:color w:val="000000"/>
          <w:sz w:val="24"/>
          <w:szCs w:val="24"/>
        </w:rPr>
        <w:t>La adopción del sistema de Pago Contingente al Ingreso (PCI) como una alternativa para los beneficiarios de créditos con el ICETEX constituye una transformación significativa en las practicas del recaudo y en el grueso de la política de financiamiento educativo</w:t>
      </w:r>
      <w:r w:rsidR="00F817C5" w:rsidRPr="00F817C5">
        <w:rPr>
          <w:rFonts w:ascii="Arial Narrow" w:eastAsia="Arial Narrow" w:hAnsi="Arial Narrow" w:cs="Arial Narrow"/>
          <w:color w:val="000000"/>
          <w:sz w:val="24"/>
          <w:szCs w:val="24"/>
        </w:rPr>
        <w:t>. Según el Ministerio de Educación como ente rector orientador del sector educativo, si bien es una propuesta que i</w:t>
      </w:r>
      <w:r w:rsidR="00F817C5" w:rsidRPr="00F817C5">
        <w:rPr>
          <w:rFonts w:ascii="Arial Narrow" w:eastAsia="Arial Narrow" w:hAnsi="Arial Narrow" w:cs="Arial Narrow"/>
          <w:color w:val="000000"/>
          <w:sz w:val="24"/>
          <w:szCs w:val="24"/>
        </w:rPr>
        <w:t>ntroduce un enfoque solidario que contribuye a aliviar la carga financiera de los deudores, protege a los ingresos más bajos y promueve esquemas de pago más justos y proporcionales a la capacidad económica de los beneficiarios</w:t>
      </w:r>
      <w:r w:rsidR="00F817C5">
        <w:rPr>
          <w:rFonts w:ascii="Arial Narrow" w:eastAsia="Arial Narrow" w:hAnsi="Arial Narrow" w:cs="Arial Narrow"/>
          <w:color w:val="000000"/>
          <w:sz w:val="24"/>
          <w:szCs w:val="24"/>
        </w:rPr>
        <w:t xml:space="preserve">, </w:t>
      </w:r>
      <w:r w:rsidR="00F817C5" w:rsidRPr="00F817C5">
        <w:rPr>
          <w:rFonts w:ascii="Arial Narrow" w:eastAsia="Arial Narrow" w:hAnsi="Arial Narrow" w:cs="Arial Narrow"/>
          <w:color w:val="000000"/>
          <w:sz w:val="24"/>
          <w:szCs w:val="24"/>
        </w:rPr>
        <w:t>necesario contar</w:t>
      </w:r>
      <w:r w:rsidR="00F817C5">
        <w:rPr>
          <w:rFonts w:ascii="Arial Narrow" w:eastAsia="Arial Narrow" w:hAnsi="Arial Narrow" w:cs="Arial Narrow"/>
          <w:color w:val="000000"/>
          <w:sz w:val="24"/>
          <w:szCs w:val="24"/>
        </w:rPr>
        <w:t xml:space="preserve"> </w:t>
      </w:r>
      <w:r w:rsidR="00F817C5" w:rsidRPr="00F817C5">
        <w:rPr>
          <w:rFonts w:ascii="Arial Narrow" w:eastAsia="Arial Narrow" w:hAnsi="Arial Narrow" w:cs="Arial Narrow"/>
          <w:i/>
          <w:iCs/>
          <w:color w:val="000000"/>
          <w:sz w:val="24"/>
          <w:szCs w:val="24"/>
        </w:rPr>
        <w:t>a priori</w:t>
      </w:r>
      <w:r w:rsidR="00F817C5">
        <w:rPr>
          <w:rFonts w:ascii="Arial Narrow" w:eastAsia="Arial Narrow" w:hAnsi="Arial Narrow" w:cs="Arial Narrow"/>
          <w:color w:val="000000"/>
          <w:sz w:val="24"/>
          <w:szCs w:val="24"/>
        </w:rPr>
        <w:t xml:space="preserve"> </w:t>
      </w:r>
      <w:r w:rsidR="00F817C5" w:rsidRPr="00F817C5">
        <w:rPr>
          <w:rFonts w:ascii="Arial Narrow" w:eastAsia="Arial Narrow" w:hAnsi="Arial Narrow" w:cs="Arial Narrow"/>
          <w:color w:val="000000"/>
          <w:sz w:val="24"/>
          <w:szCs w:val="24"/>
        </w:rPr>
        <w:t>con</w:t>
      </w:r>
      <w:r w:rsidR="00F817C5" w:rsidRPr="00F817C5">
        <w:rPr>
          <w:rFonts w:ascii="Arial Narrow" w:eastAsia="Arial Narrow" w:hAnsi="Arial Narrow" w:cs="Arial Narrow"/>
          <w:color w:val="000000"/>
          <w:sz w:val="24"/>
          <w:szCs w:val="24"/>
        </w:rPr>
        <w:t xml:space="preserve"> un análisis técnico y jurídico robusto. Este análisis debe evaluar aspectos como la viabilidad financiera del mecanismo, su impacto en los flujos de caja del ICETEX, las condiciones del mercado laboral colombiano, los índices de empleo de los beneficiarios y las experiencias comparadas en otros países que han implementado esquemas similares</w:t>
      </w:r>
      <w:r w:rsidR="00F817C5">
        <w:rPr>
          <w:rFonts w:ascii="Arial Narrow" w:eastAsia="Arial Narrow" w:hAnsi="Arial Narrow" w:cs="Arial Narrow"/>
          <w:color w:val="000000"/>
          <w:sz w:val="24"/>
          <w:szCs w:val="24"/>
        </w:rPr>
        <w:t>, esto a la luz de el PCI que se encuentra incorporado en el</w:t>
      </w:r>
      <w:r w:rsidR="00183D77" w:rsidRPr="00183D77">
        <w:rPr>
          <w:rFonts w:ascii="Arial Narrow" w:eastAsia="Arial Narrow" w:hAnsi="Arial Narrow" w:cs="Arial Narrow"/>
          <w:color w:val="000000"/>
          <w:sz w:val="24"/>
          <w:szCs w:val="24"/>
        </w:rPr>
        <w:t xml:space="preserve"> Plan Nacional de Desarrollo (2022-2026)</w:t>
      </w:r>
      <w:r w:rsidR="00183D77">
        <w:rPr>
          <w:rFonts w:ascii="Arial Narrow" w:eastAsia="Arial Narrow" w:hAnsi="Arial Narrow" w:cs="Arial Narrow"/>
          <w:color w:val="000000"/>
          <w:sz w:val="24"/>
          <w:szCs w:val="24"/>
        </w:rPr>
        <w:t xml:space="preserve"> en su artículo 1</w:t>
      </w:r>
      <w:r w:rsidR="00F817C5">
        <w:rPr>
          <w:rFonts w:ascii="Arial Narrow" w:eastAsia="Arial Narrow" w:hAnsi="Arial Narrow" w:cs="Arial Narrow"/>
          <w:color w:val="000000"/>
          <w:sz w:val="24"/>
          <w:szCs w:val="24"/>
        </w:rPr>
        <w:t>32 como medida adoptada por la entidad</w:t>
      </w:r>
      <w:r w:rsidR="00183D77">
        <w:rPr>
          <w:rFonts w:ascii="Arial Narrow" w:eastAsia="Arial Narrow" w:hAnsi="Arial Narrow" w:cs="Arial Narrow"/>
          <w:color w:val="000000"/>
          <w:sz w:val="24"/>
          <w:szCs w:val="24"/>
        </w:rPr>
        <w:t xml:space="preserve">: </w:t>
      </w:r>
    </w:p>
    <w:p w14:paraId="07B3B8FC" w14:textId="77777777" w:rsidR="007D4936" w:rsidRDefault="007D4936"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186E8C2D" w14:textId="6D7163F8"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sidRPr="007D4936">
        <w:rPr>
          <w:rFonts w:ascii="Arial Narrow" w:eastAsia="Arial Narrow" w:hAnsi="Arial Narrow" w:cs="Arial Narrow"/>
          <w:b/>
          <w:bCs/>
          <w:color w:val="000000"/>
          <w:sz w:val="24"/>
          <w:szCs w:val="24"/>
        </w:rPr>
        <w:t>ARTÍCULO 132°. IMPLEMENTACIÓN DEL MECANISMO DE PAGO CONTINGENTE AL INGRESO PARA NUEVAS OBLIGACIONES CON ICETEX.</w:t>
      </w:r>
      <w:r w:rsidRPr="007D4936">
        <w:rPr>
          <w:rFonts w:ascii="Arial Narrow" w:eastAsia="Arial Narrow" w:hAnsi="Arial Narrow" w:cs="Arial Narrow"/>
          <w:color w:val="000000"/>
          <w:sz w:val="24"/>
          <w:szCs w:val="24"/>
        </w:rPr>
        <w:t xml:space="preserve"> El Gobierno nacional aplicará el mecanismo de pago contingente para nuevas obligaciones contraídas con el ICETEX, el cual </w:t>
      </w:r>
      <w:r w:rsidRPr="007D4936">
        <w:rPr>
          <w:rFonts w:ascii="Arial Narrow" w:eastAsia="Arial Narrow" w:hAnsi="Arial Narrow" w:cs="Arial Narrow"/>
          <w:color w:val="000000"/>
          <w:sz w:val="24"/>
          <w:szCs w:val="24"/>
        </w:rPr>
        <w:lastRenderedPageBreak/>
        <w:t>será proporcional al monto de los ingresos recibidos por los beneficiarios de dichas obligaciones bajo las mismas condiciones establecidas en el artículo 117 de la Ley 2159 de 2021 y su reglamentación.</w:t>
      </w:r>
    </w:p>
    <w:p w14:paraId="1812BC52" w14:textId="77777777"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2BB59F49" w14:textId="77777777"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sidRPr="007D4936">
        <w:rPr>
          <w:rFonts w:ascii="Arial Narrow" w:eastAsia="Arial Narrow" w:hAnsi="Arial Narrow" w:cs="Arial Narrow"/>
          <w:color w:val="000000"/>
          <w:sz w:val="24"/>
          <w:szCs w:val="24"/>
        </w:rPr>
        <w:t xml:space="preserve"> Los recursos para fortalecer la implementación del mecanismo de Pago Contingente al Ingreso podrán ser los siguientes:</w:t>
      </w:r>
    </w:p>
    <w:p w14:paraId="01EBE8CA" w14:textId="77777777"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20237DB3" w14:textId="6E04A54A"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sidRPr="007D4936">
        <w:rPr>
          <w:rFonts w:ascii="Arial Narrow" w:eastAsia="Arial Narrow" w:hAnsi="Arial Narrow" w:cs="Arial Narrow"/>
          <w:color w:val="000000"/>
          <w:sz w:val="24"/>
          <w:szCs w:val="24"/>
        </w:rPr>
        <w:t>1. Los provenientes del Presupuesto General de la Nación.</w:t>
      </w:r>
    </w:p>
    <w:p w14:paraId="0C93AADA" w14:textId="32151648"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sidRPr="007D4936">
        <w:rPr>
          <w:rFonts w:ascii="Arial Narrow" w:eastAsia="Arial Narrow" w:hAnsi="Arial Narrow" w:cs="Arial Narrow"/>
          <w:color w:val="000000"/>
          <w:sz w:val="24"/>
          <w:szCs w:val="24"/>
        </w:rPr>
        <w:t xml:space="preserve">2. Aportes de las entidades públicas del orden nacional, de las entidades y empresas descentralizadas, de las empresas industriales y comerciales del Estado, de las sociedades de economía mixta y de las entidades de naturaleza especial. Estos recursos podrán usarse para constituir subcuentas o compartimentos con destinación a convocatorias específicas. </w:t>
      </w:r>
    </w:p>
    <w:p w14:paraId="723BCA51" w14:textId="77777777"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sidRPr="007D4936">
        <w:rPr>
          <w:rFonts w:ascii="Arial Narrow" w:eastAsia="Arial Narrow" w:hAnsi="Arial Narrow" w:cs="Arial Narrow"/>
          <w:color w:val="000000"/>
          <w:sz w:val="24"/>
          <w:szCs w:val="24"/>
        </w:rPr>
        <w:t>3. Los provenientes de cooperación internacional. Cuando se trate de recursos reembolsables, se deberán cumplir las normas de crédito público aplicables.</w:t>
      </w:r>
    </w:p>
    <w:p w14:paraId="36A3C4A8" w14:textId="77777777"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sidRPr="007D4936">
        <w:rPr>
          <w:rFonts w:ascii="Arial Narrow" w:eastAsia="Arial Narrow" w:hAnsi="Arial Narrow" w:cs="Arial Narrow"/>
          <w:color w:val="000000"/>
          <w:sz w:val="24"/>
          <w:szCs w:val="24"/>
        </w:rPr>
        <w:t xml:space="preserve"> 4. Los que destinen los departamentos, distritos y municipios de sus recursos que puedan destinarse a educación, que podrán priorizarse por regiones, departamentos o municipios y podrán usarse para constituir subcuentas o compartimentos con destinación a convocatorias específicas.</w:t>
      </w:r>
    </w:p>
    <w:p w14:paraId="26175B1A" w14:textId="77777777"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sidRPr="007D4936">
        <w:rPr>
          <w:rFonts w:ascii="Arial Narrow" w:eastAsia="Arial Narrow" w:hAnsi="Arial Narrow" w:cs="Arial Narrow"/>
          <w:color w:val="000000"/>
          <w:sz w:val="24"/>
          <w:szCs w:val="24"/>
        </w:rPr>
        <w:t xml:space="preserve"> 5. Los provenientes de donaciones, sea que provengan del sector privado o del sector público.</w:t>
      </w:r>
    </w:p>
    <w:p w14:paraId="7E8FF8DF" w14:textId="5B1FC910" w:rsidR="007D4936" w:rsidRDefault="007D4936"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r w:rsidRPr="007D4936">
        <w:rPr>
          <w:rFonts w:ascii="Arial Narrow" w:eastAsia="Arial Narrow" w:hAnsi="Arial Narrow" w:cs="Arial Narrow"/>
          <w:color w:val="000000"/>
          <w:sz w:val="24"/>
          <w:szCs w:val="24"/>
        </w:rPr>
        <w:t xml:space="preserve"> 6. Recursos propios del ICETEX</w:t>
      </w:r>
      <w:r>
        <w:rPr>
          <w:rFonts w:ascii="Arial Narrow" w:eastAsia="Arial Narrow" w:hAnsi="Arial Narrow" w:cs="Arial Narrow"/>
          <w:color w:val="000000"/>
          <w:sz w:val="24"/>
          <w:szCs w:val="24"/>
        </w:rPr>
        <w:t>.</w:t>
      </w:r>
    </w:p>
    <w:p w14:paraId="24E81C92" w14:textId="77777777" w:rsidR="00F817C5" w:rsidRDefault="00F817C5" w:rsidP="00174F25">
      <w:pPr>
        <w:pBdr>
          <w:top w:val="nil"/>
          <w:left w:val="nil"/>
          <w:bottom w:val="nil"/>
          <w:right w:val="nil"/>
          <w:between w:val="nil"/>
        </w:pBdr>
        <w:spacing w:after="0" w:line="240" w:lineRule="auto"/>
        <w:ind w:left="720"/>
        <w:jc w:val="both"/>
        <w:rPr>
          <w:rFonts w:ascii="Arial Narrow" w:eastAsia="Arial Narrow" w:hAnsi="Arial Narrow" w:cs="Arial Narrow"/>
          <w:color w:val="000000"/>
          <w:sz w:val="24"/>
          <w:szCs w:val="24"/>
        </w:rPr>
      </w:pPr>
    </w:p>
    <w:p w14:paraId="71EA5661" w14:textId="7FDE2F71" w:rsidR="00F817C5" w:rsidRPr="00F817C5" w:rsidRDefault="00F817C5"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otro </w:t>
      </w:r>
      <w:r w:rsidR="001C5E24">
        <w:rPr>
          <w:rFonts w:ascii="Arial Narrow" w:eastAsia="Arial Narrow" w:hAnsi="Arial Narrow" w:cs="Arial Narrow"/>
          <w:color w:val="000000"/>
          <w:sz w:val="24"/>
          <w:szCs w:val="24"/>
        </w:rPr>
        <w:t xml:space="preserve">lado, si bien </w:t>
      </w:r>
      <w:r>
        <w:rPr>
          <w:rFonts w:ascii="Arial Narrow" w:eastAsia="Arial Narrow" w:hAnsi="Arial Narrow" w:cs="Arial Narrow"/>
          <w:color w:val="000000"/>
          <w:sz w:val="24"/>
          <w:szCs w:val="24"/>
        </w:rPr>
        <w:t xml:space="preserve"> l</w:t>
      </w:r>
      <w:r w:rsidRPr="00F817C5">
        <w:rPr>
          <w:rFonts w:ascii="Arial Narrow" w:eastAsia="Arial Narrow" w:hAnsi="Arial Narrow" w:cs="Arial Narrow"/>
          <w:color w:val="000000"/>
          <w:sz w:val="24"/>
          <w:szCs w:val="24"/>
        </w:rPr>
        <w:t>a formulación de una política integral</w:t>
      </w:r>
      <w:r w:rsidR="001C5E24">
        <w:rPr>
          <w:rFonts w:ascii="Arial Narrow" w:eastAsia="Arial Narrow" w:hAnsi="Arial Narrow" w:cs="Arial Narrow"/>
          <w:color w:val="000000"/>
          <w:sz w:val="24"/>
          <w:szCs w:val="24"/>
        </w:rPr>
        <w:t xml:space="preserve"> de la que trata el artículo 11 del proyecto de ley</w:t>
      </w:r>
      <w:r w:rsidRPr="00F817C5">
        <w:rPr>
          <w:rFonts w:ascii="Arial Narrow" w:eastAsia="Arial Narrow" w:hAnsi="Arial Narrow" w:cs="Arial Narrow"/>
          <w:color w:val="000000"/>
          <w:sz w:val="24"/>
          <w:szCs w:val="24"/>
        </w:rPr>
        <w:t>,</w:t>
      </w:r>
      <w:r w:rsidR="001C5E24">
        <w:rPr>
          <w:rFonts w:ascii="Arial Narrow" w:eastAsia="Arial Narrow" w:hAnsi="Arial Narrow" w:cs="Arial Narrow"/>
          <w:color w:val="000000"/>
          <w:sz w:val="24"/>
          <w:szCs w:val="24"/>
        </w:rPr>
        <w:t xml:space="preserve"> le apuesta a un enfoque </w:t>
      </w:r>
      <w:r w:rsidRPr="00F817C5">
        <w:rPr>
          <w:rFonts w:ascii="Arial Narrow" w:eastAsia="Arial Narrow" w:hAnsi="Arial Narrow" w:cs="Arial Narrow"/>
          <w:color w:val="000000"/>
          <w:sz w:val="24"/>
          <w:szCs w:val="24"/>
        </w:rPr>
        <w:t xml:space="preserve"> permanente y adaptable de condonaciones en el ICETEX </w:t>
      </w:r>
      <w:r w:rsidR="001C5E24">
        <w:rPr>
          <w:rFonts w:ascii="Arial Narrow" w:eastAsia="Arial Narrow" w:hAnsi="Arial Narrow" w:cs="Arial Narrow"/>
          <w:color w:val="000000"/>
          <w:sz w:val="24"/>
          <w:szCs w:val="24"/>
        </w:rPr>
        <w:t xml:space="preserve">y </w:t>
      </w:r>
      <w:r w:rsidRPr="00F817C5">
        <w:rPr>
          <w:rFonts w:ascii="Arial Narrow" w:eastAsia="Arial Narrow" w:hAnsi="Arial Narrow" w:cs="Arial Narrow"/>
          <w:color w:val="000000"/>
          <w:sz w:val="24"/>
          <w:szCs w:val="24"/>
        </w:rPr>
        <w:t>cuenta con un componente claramente positivo</w:t>
      </w:r>
      <w:r w:rsidR="001C5E24">
        <w:rPr>
          <w:rFonts w:ascii="Arial Narrow" w:eastAsia="Arial Narrow" w:hAnsi="Arial Narrow" w:cs="Arial Narrow"/>
          <w:color w:val="000000"/>
          <w:sz w:val="24"/>
          <w:szCs w:val="24"/>
        </w:rPr>
        <w:t>, no contempla que la</w:t>
      </w:r>
      <w:r w:rsidRPr="00F817C5">
        <w:rPr>
          <w:rFonts w:ascii="Arial Narrow" w:eastAsia="Arial Narrow" w:hAnsi="Arial Narrow" w:cs="Arial Narrow"/>
          <w:color w:val="000000"/>
          <w:sz w:val="24"/>
          <w:szCs w:val="24"/>
        </w:rPr>
        <w:t xml:space="preserve"> implementación generalizada de condonaciones, sin un análisis exhaustivo del impacto fiscal y de sostenibilidad, puede ejercer presiones considerables sobre los recursos tanto del ICETEX como de la Nación</w:t>
      </w:r>
      <w:r w:rsidR="001C5E24">
        <w:rPr>
          <w:rFonts w:ascii="Arial Narrow" w:eastAsia="Arial Narrow" w:hAnsi="Arial Narrow" w:cs="Arial Narrow"/>
          <w:color w:val="000000"/>
          <w:sz w:val="24"/>
          <w:szCs w:val="24"/>
        </w:rPr>
        <w:t xml:space="preserve"> (Concepto Técnico Ministerio de Educación), lo que, en efecto,  podría </w:t>
      </w:r>
      <w:r w:rsidRPr="00F817C5">
        <w:rPr>
          <w:rFonts w:ascii="Arial Narrow" w:eastAsia="Arial Narrow" w:hAnsi="Arial Narrow" w:cs="Arial Narrow"/>
          <w:color w:val="000000"/>
          <w:sz w:val="24"/>
          <w:szCs w:val="24"/>
        </w:rPr>
        <w:t>implicar una reducción estructural en los ingresos provenientes de la recuperación de cartera</w:t>
      </w:r>
      <w:r w:rsidR="001C5E24">
        <w:rPr>
          <w:rFonts w:ascii="Arial Narrow" w:eastAsia="Arial Narrow" w:hAnsi="Arial Narrow" w:cs="Arial Narrow"/>
          <w:color w:val="000000"/>
          <w:sz w:val="24"/>
          <w:szCs w:val="24"/>
        </w:rPr>
        <w:t xml:space="preserve">. Ante esta eventualidad de impacto sobre la sostenibilidad económica, </w:t>
      </w:r>
      <w:r w:rsidRPr="00F817C5">
        <w:rPr>
          <w:rFonts w:ascii="Arial Narrow" w:eastAsia="Arial Narrow" w:hAnsi="Arial Narrow" w:cs="Arial Narrow"/>
          <w:color w:val="000000"/>
          <w:sz w:val="24"/>
          <w:szCs w:val="24"/>
        </w:rPr>
        <w:t>resulta imprescindible acompañarla de estudios técnicos que cuantifiquen sus efectos y de una fuente de financiamiento estable, con el fin de salvar la viabilidad financiera de la entidad y mantener su capacidad para seguir otorgando créditos</w:t>
      </w:r>
      <w:r w:rsidR="001C5E24">
        <w:rPr>
          <w:rFonts w:ascii="Arial Narrow" w:eastAsia="Arial Narrow" w:hAnsi="Arial Narrow" w:cs="Arial Narrow"/>
          <w:color w:val="000000"/>
          <w:sz w:val="24"/>
          <w:szCs w:val="24"/>
        </w:rPr>
        <w:t>. A su vez, esta iniciativa en especial ya se encuentra en el Plan Nacional de Desarrollo (2022-2026):</w:t>
      </w:r>
    </w:p>
    <w:p w14:paraId="7F30AE76" w14:textId="77777777" w:rsidR="00F817C5" w:rsidRDefault="00F817C5"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322820DC" w14:textId="5D84FDC5" w:rsidR="00183D77" w:rsidRDefault="00183D77"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1EC5421F" w14:textId="0922DE45" w:rsidR="00183D77" w:rsidRPr="00183D77" w:rsidRDefault="00183D77"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183D77">
        <w:rPr>
          <w:rFonts w:ascii="Arial Narrow" w:eastAsia="Arial Narrow" w:hAnsi="Arial Narrow" w:cs="Arial Narrow"/>
          <w:b/>
          <w:bCs/>
          <w:i/>
          <w:iCs/>
          <w:color w:val="000000"/>
          <w:sz w:val="24"/>
          <w:szCs w:val="24"/>
        </w:rPr>
        <w:t>A</w:t>
      </w:r>
      <w:r w:rsidRPr="00183D77">
        <w:rPr>
          <w:rFonts w:ascii="Arial Narrow" w:eastAsia="Arial Narrow" w:hAnsi="Arial Narrow" w:cs="Arial Narrow"/>
          <w:b/>
          <w:bCs/>
          <w:i/>
          <w:iCs/>
          <w:color w:val="000000"/>
          <w:sz w:val="24"/>
          <w:szCs w:val="24"/>
        </w:rPr>
        <w:t>RTÍCULO 128°. INCENTIVO DE CONDONACIÓN PARCIAL DE</w:t>
      </w:r>
      <w:r w:rsidRPr="00183D77">
        <w:rPr>
          <w:rFonts w:ascii="Arial Narrow" w:eastAsia="Arial Narrow" w:hAnsi="Arial Narrow" w:cs="Arial Narrow"/>
          <w:b/>
          <w:bCs/>
          <w:i/>
          <w:iCs/>
          <w:color w:val="000000"/>
          <w:sz w:val="24"/>
          <w:szCs w:val="24"/>
        </w:rPr>
        <w:t xml:space="preserve"> </w:t>
      </w:r>
      <w:r w:rsidRPr="00183D77">
        <w:rPr>
          <w:rFonts w:ascii="Arial Narrow" w:eastAsia="Arial Narrow" w:hAnsi="Arial Narrow" w:cs="Arial Narrow"/>
          <w:b/>
          <w:bCs/>
          <w:i/>
          <w:iCs/>
          <w:color w:val="000000"/>
          <w:sz w:val="24"/>
          <w:szCs w:val="24"/>
        </w:rPr>
        <w:t xml:space="preserve">CAPITAL. </w:t>
      </w:r>
      <w:r w:rsidRPr="00183D77">
        <w:rPr>
          <w:rFonts w:ascii="Arial Narrow" w:eastAsia="Arial Narrow" w:hAnsi="Arial Narrow" w:cs="Arial Narrow"/>
          <w:i/>
          <w:iCs/>
          <w:color w:val="000000"/>
          <w:sz w:val="24"/>
          <w:szCs w:val="24"/>
        </w:rPr>
        <w:t>Autorícese al ICETEX para que establezca una política integral de</w:t>
      </w:r>
      <w:r w:rsidRPr="00183D77">
        <w:rPr>
          <w:rFonts w:ascii="Arial Narrow" w:eastAsia="Arial Narrow" w:hAnsi="Arial Narrow" w:cs="Arial Narrow"/>
          <w:i/>
          <w:iCs/>
          <w:color w:val="000000"/>
          <w:sz w:val="24"/>
          <w:szCs w:val="24"/>
        </w:rPr>
        <w:t xml:space="preserve"> </w:t>
      </w:r>
      <w:r w:rsidRPr="00183D77">
        <w:rPr>
          <w:rFonts w:ascii="Arial Narrow" w:eastAsia="Arial Narrow" w:hAnsi="Arial Narrow" w:cs="Arial Narrow"/>
          <w:i/>
          <w:iCs/>
          <w:color w:val="000000"/>
          <w:sz w:val="24"/>
          <w:szCs w:val="24"/>
        </w:rPr>
        <w:t>alivios e incentivos que contemplen beneficios de condonación parcial de capital</w:t>
      </w:r>
      <w:r w:rsidRPr="00183D77">
        <w:rPr>
          <w:rFonts w:ascii="Arial Narrow" w:eastAsia="Arial Narrow" w:hAnsi="Arial Narrow" w:cs="Arial Narrow"/>
          <w:i/>
          <w:iCs/>
          <w:color w:val="000000"/>
          <w:sz w:val="24"/>
          <w:szCs w:val="24"/>
        </w:rPr>
        <w:t xml:space="preserve"> </w:t>
      </w:r>
      <w:r w:rsidRPr="00183D77">
        <w:rPr>
          <w:rFonts w:ascii="Arial Narrow" w:eastAsia="Arial Narrow" w:hAnsi="Arial Narrow" w:cs="Arial Narrow"/>
          <w:i/>
          <w:iCs/>
          <w:color w:val="000000"/>
          <w:sz w:val="24"/>
          <w:szCs w:val="24"/>
        </w:rPr>
        <w:t>por pago anticipado de la obligación crediticia, por riesgo de incobrabilidad,</w:t>
      </w:r>
      <w:r w:rsidRPr="00183D77">
        <w:rPr>
          <w:rFonts w:ascii="Arial Narrow" w:eastAsia="Arial Narrow" w:hAnsi="Arial Narrow" w:cs="Arial Narrow"/>
          <w:i/>
          <w:iCs/>
          <w:color w:val="000000"/>
          <w:sz w:val="24"/>
          <w:szCs w:val="24"/>
        </w:rPr>
        <w:t xml:space="preserve"> </w:t>
      </w:r>
      <w:r w:rsidRPr="00183D77">
        <w:rPr>
          <w:rFonts w:ascii="Arial Narrow" w:eastAsia="Arial Narrow" w:hAnsi="Arial Narrow" w:cs="Arial Narrow"/>
          <w:i/>
          <w:iCs/>
          <w:color w:val="000000"/>
          <w:sz w:val="24"/>
          <w:szCs w:val="24"/>
        </w:rPr>
        <w:t>por excelencia académica y otras alternativas de compensación social. Estas</w:t>
      </w:r>
    </w:p>
    <w:p w14:paraId="10B2D9B3" w14:textId="0C8D35AC" w:rsidR="00183D77" w:rsidRPr="00183D77" w:rsidRDefault="00183D77"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183D77">
        <w:rPr>
          <w:rFonts w:ascii="Arial Narrow" w:eastAsia="Arial Narrow" w:hAnsi="Arial Narrow" w:cs="Arial Narrow"/>
          <w:i/>
          <w:iCs/>
          <w:color w:val="000000"/>
          <w:sz w:val="24"/>
          <w:szCs w:val="24"/>
        </w:rPr>
        <w:t>medidas estarán sujetas a la disponibilidad de recursos propios y del Gobierno</w:t>
      </w:r>
      <w:r w:rsidRPr="00183D77">
        <w:rPr>
          <w:rFonts w:ascii="Arial Narrow" w:eastAsia="Arial Narrow" w:hAnsi="Arial Narrow" w:cs="Arial Narrow"/>
          <w:i/>
          <w:iCs/>
          <w:color w:val="000000"/>
          <w:sz w:val="24"/>
          <w:szCs w:val="24"/>
        </w:rPr>
        <w:t xml:space="preserve"> </w:t>
      </w:r>
      <w:r w:rsidRPr="00183D77">
        <w:rPr>
          <w:rFonts w:ascii="Arial Narrow" w:eastAsia="Arial Narrow" w:hAnsi="Arial Narrow" w:cs="Arial Narrow"/>
          <w:i/>
          <w:iCs/>
          <w:color w:val="000000"/>
          <w:sz w:val="24"/>
          <w:szCs w:val="24"/>
        </w:rPr>
        <w:t>Nacional.</w:t>
      </w:r>
    </w:p>
    <w:p w14:paraId="56156A89" w14:textId="77777777" w:rsidR="00183D77" w:rsidRPr="00183D77" w:rsidRDefault="00183D77"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p>
    <w:p w14:paraId="4FE8F634" w14:textId="373A19F5" w:rsidR="00183D77" w:rsidRPr="00183D77" w:rsidRDefault="00183D77"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183D77">
        <w:rPr>
          <w:rFonts w:ascii="Arial Narrow" w:eastAsia="Arial Narrow" w:hAnsi="Arial Narrow" w:cs="Arial Narrow"/>
          <w:i/>
          <w:iCs/>
          <w:color w:val="000000"/>
          <w:sz w:val="24"/>
          <w:szCs w:val="24"/>
        </w:rPr>
        <w:lastRenderedPageBreak/>
        <w:t>Corresponde a la Junta Directiva del ICETEX, en ejercicio de sus facultades,</w:t>
      </w:r>
      <w:r w:rsidRPr="00183D77">
        <w:rPr>
          <w:rFonts w:ascii="Arial Narrow" w:eastAsia="Arial Narrow" w:hAnsi="Arial Narrow" w:cs="Arial Narrow"/>
          <w:i/>
          <w:iCs/>
          <w:color w:val="000000"/>
          <w:sz w:val="24"/>
          <w:szCs w:val="24"/>
        </w:rPr>
        <w:t xml:space="preserve"> </w:t>
      </w:r>
      <w:r w:rsidRPr="00183D77">
        <w:rPr>
          <w:rFonts w:ascii="Arial Narrow" w:eastAsia="Arial Narrow" w:hAnsi="Arial Narrow" w:cs="Arial Narrow"/>
          <w:i/>
          <w:iCs/>
          <w:color w:val="000000"/>
          <w:sz w:val="24"/>
          <w:szCs w:val="24"/>
        </w:rPr>
        <w:t>reglamentar los parámetros y la proporción del capital que puede ser objeto de</w:t>
      </w:r>
      <w:r w:rsidRPr="00183D77">
        <w:rPr>
          <w:rFonts w:ascii="Arial Narrow" w:eastAsia="Arial Narrow" w:hAnsi="Arial Narrow" w:cs="Arial Narrow"/>
          <w:i/>
          <w:iCs/>
          <w:color w:val="000000"/>
          <w:sz w:val="24"/>
          <w:szCs w:val="24"/>
        </w:rPr>
        <w:t xml:space="preserve"> </w:t>
      </w:r>
      <w:r w:rsidRPr="00183D77">
        <w:rPr>
          <w:rFonts w:ascii="Arial Narrow" w:eastAsia="Arial Narrow" w:hAnsi="Arial Narrow" w:cs="Arial Narrow"/>
          <w:i/>
          <w:iCs/>
          <w:color w:val="000000"/>
          <w:sz w:val="24"/>
          <w:szCs w:val="24"/>
        </w:rPr>
        <w:t>condonación, con base en los estudios técnicos que se estructuren en la entidad.</w:t>
      </w:r>
    </w:p>
    <w:p w14:paraId="402DFACE" w14:textId="77777777" w:rsidR="00183D77" w:rsidRPr="00183D77" w:rsidRDefault="00183D77"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p>
    <w:p w14:paraId="32592B91" w14:textId="516E92C1" w:rsidR="00183D77" w:rsidRPr="00183D77" w:rsidRDefault="00183D77"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183D77">
        <w:rPr>
          <w:rFonts w:ascii="Arial Narrow" w:eastAsia="Arial Narrow" w:hAnsi="Arial Narrow" w:cs="Arial Narrow"/>
          <w:b/>
          <w:bCs/>
          <w:i/>
          <w:iCs/>
          <w:color w:val="000000"/>
          <w:sz w:val="24"/>
          <w:szCs w:val="24"/>
        </w:rPr>
        <w:t>PARÁGRAFO.</w:t>
      </w:r>
      <w:r w:rsidRPr="00183D77">
        <w:rPr>
          <w:rFonts w:ascii="Arial Narrow" w:eastAsia="Arial Narrow" w:hAnsi="Arial Narrow" w:cs="Arial Narrow"/>
          <w:i/>
          <w:iCs/>
          <w:color w:val="000000"/>
          <w:sz w:val="24"/>
          <w:szCs w:val="24"/>
        </w:rPr>
        <w:t xml:space="preserve"> Los constituyentes de fondos y/o alianzas administradas por el</w:t>
      </w:r>
      <w:r w:rsidRPr="00183D77">
        <w:rPr>
          <w:rFonts w:ascii="Arial Narrow" w:eastAsia="Arial Narrow" w:hAnsi="Arial Narrow" w:cs="Arial Narrow"/>
          <w:i/>
          <w:iCs/>
          <w:color w:val="000000"/>
          <w:sz w:val="24"/>
          <w:szCs w:val="24"/>
        </w:rPr>
        <w:t xml:space="preserve"> </w:t>
      </w:r>
      <w:r w:rsidRPr="00183D77">
        <w:rPr>
          <w:rFonts w:ascii="Arial Narrow" w:eastAsia="Arial Narrow" w:hAnsi="Arial Narrow" w:cs="Arial Narrow"/>
          <w:i/>
          <w:iCs/>
          <w:color w:val="000000"/>
          <w:sz w:val="24"/>
          <w:szCs w:val="24"/>
        </w:rPr>
        <w:t>ICETEX, podrán acogerse a estos incentivos mediante autorización expedida</w:t>
      </w:r>
    </w:p>
    <w:p w14:paraId="446D0878" w14:textId="27723E35" w:rsidR="00D201E0" w:rsidRDefault="00183D77"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183D77">
        <w:rPr>
          <w:rFonts w:ascii="Arial Narrow" w:eastAsia="Arial Narrow" w:hAnsi="Arial Narrow" w:cs="Arial Narrow"/>
          <w:i/>
          <w:iCs/>
          <w:color w:val="000000"/>
          <w:sz w:val="24"/>
          <w:szCs w:val="24"/>
        </w:rPr>
        <w:t>por la junta administradora respectiva.</w:t>
      </w:r>
    </w:p>
    <w:p w14:paraId="39134144" w14:textId="77777777" w:rsid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i/>
          <w:iCs/>
          <w:color w:val="000000"/>
          <w:sz w:val="24"/>
          <w:szCs w:val="24"/>
        </w:rPr>
      </w:pPr>
    </w:p>
    <w:p w14:paraId="0226DB0E" w14:textId="77E11AED" w:rsidR="00D201E0" w:rsidRPr="002F06C8" w:rsidRDefault="00D201E0"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bCs/>
          <w:color w:val="000000"/>
          <w:sz w:val="24"/>
          <w:szCs w:val="24"/>
        </w:rPr>
      </w:pPr>
      <w:r w:rsidRPr="002F06C8">
        <w:rPr>
          <w:rFonts w:ascii="Arial Narrow" w:eastAsia="Arial Narrow" w:hAnsi="Arial Narrow" w:cs="Arial Narrow"/>
          <w:b/>
          <w:bCs/>
          <w:color w:val="000000"/>
          <w:sz w:val="24"/>
          <w:szCs w:val="24"/>
        </w:rPr>
        <w:t>ROL DE LA SUPERINTENDENCIA FINANCIERA EN LA SUPERVISIÓN DEL ICETEX</w:t>
      </w:r>
    </w:p>
    <w:p w14:paraId="27AE5798" w14:textId="77777777"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66631BD7" w14:textId="37F12C4E"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D201E0">
        <w:rPr>
          <w:rFonts w:ascii="Arial Narrow" w:eastAsia="Arial Narrow" w:hAnsi="Arial Narrow" w:cs="Arial Narrow"/>
          <w:color w:val="000000"/>
          <w:sz w:val="24"/>
          <w:szCs w:val="24"/>
        </w:rPr>
        <w:t>Adicionalmente, es importante destacar que la Superintendencia Financiera de Colombia, en su rol de vigilante y de control sobre posibles riesgos financieros del ICETEX para asegurar la correcta utilización de los recursos públicos y proteger los derechos de los beneficiarios, contribuyendo a mitigar los riesgos fiscales que puedan derivarse de una gestión inadecuada o de prácticas financieras no alineadas con los lineamientos regulatorios en línea con los objetivos de mantener la estabilidad y la confianza en el sistema financiero para el cumplimiento de estándares legales, técnicos y de transparencia. A razón de ello, si se asume que el ICETEX está sujeta a los perceptos de la SIFC “no puede regirse por fuera de los indicadores de rentabilidad y de riesgo (operativo, SARLAF) que establece la superintendencia</w:t>
      </w:r>
      <w:r w:rsidR="009C7355">
        <w:rPr>
          <w:rFonts w:ascii="Arial Narrow" w:eastAsia="Arial Narrow" w:hAnsi="Arial Narrow" w:cs="Arial Narrow"/>
          <w:color w:val="000000"/>
          <w:sz w:val="24"/>
          <w:szCs w:val="24"/>
        </w:rPr>
        <w:t>” (Ministerio de Educación)</w:t>
      </w:r>
      <w:r w:rsidRPr="00D201E0">
        <w:rPr>
          <w:rFonts w:ascii="Arial Narrow" w:eastAsia="Arial Narrow" w:hAnsi="Arial Narrow" w:cs="Arial Narrow"/>
          <w:color w:val="000000"/>
          <w:sz w:val="24"/>
          <w:szCs w:val="24"/>
        </w:rPr>
        <w:t>.</w:t>
      </w:r>
    </w:p>
    <w:p w14:paraId="032FEBBD" w14:textId="77777777"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607362F6" w14:textId="77777777"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D201E0">
        <w:rPr>
          <w:rFonts w:ascii="Arial Narrow" w:eastAsia="Arial Narrow" w:hAnsi="Arial Narrow" w:cs="Arial Narrow"/>
          <w:color w:val="000000"/>
          <w:sz w:val="24"/>
          <w:szCs w:val="24"/>
        </w:rPr>
        <w:t xml:space="preserve"> La única forma es cambiar su estructura para que se fondee exclusivamente con recursos públicos o dependiendo de la naturaleza quede bajo el auspicio de la supersolidaria” (Ministerio de Educación). Por ello, si el ICETEX continúa sometido a este control, su estructura y operaciones deben alinearse estrictamente con los lineamientos de la Superintendencia, o en su defecto, sería necesario transformar su estructura para que dependa exclusivamente de recursos públicos o, dependiendo de su naturaleza jurídica, quede bajo la protección de la superintendencia de la economía solidaria. </w:t>
      </w:r>
    </w:p>
    <w:p w14:paraId="45A86524" w14:textId="77777777"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683CE487" w14:textId="0E815EEE" w:rsidR="00D201E0" w:rsidRPr="002F06C8" w:rsidRDefault="00D201E0"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bCs/>
          <w:color w:val="000000"/>
          <w:sz w:val="24"/>
          <w:szCs w:val="24"/>
        </w:rPr>
      </w:pPr>
      <w:r w:rsidRPr="002F06C8">
        <w:rPr>
          <w:rFonts w:ascii="Arial Narrow" w:eastAsia="Arial Narrow" w:hAnsi="Arial Narrow" w:cs="Arial Narrow"/>
          <w:b/>
          <w:bCs/>
          <w:color w:val="000000"/>
          <w:sz w:val="24"/>
          <w:szCs w:val="24"/>
        </w:rPr>
        <w:t>NECESIDAD DE INICIATIVA GUBERNAMENTAL PARA REFORMAR EL ICETEX</w:t>
      </w:r>
    </w:p>
    <w:p w14:paraId="0317EFB4" w14:textId="77777777"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48538C01" w14:textId="0F163CFF"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D201E0">
        <w:rPr>
          <w:rFonts w:ascii="Arial Narrow" w:eastAsia="Arial Narrow" w:hAnsi="Arial Narrow" w:cs="Arial Narrow"/>
          <w:color w:val="000000"/>
          <w:sz w:val="24"/>
          <w:szCs w:val="24"/>
        </w:rPr>
        <w:t xml:space="preserve">Tal como se mencionó anteriormente, la Ley 1002 de 2005 transformó al ICETEX en una entidad financiera de carácter especial, dotada de personería jurídica, autonomía administrativa y patrimonio propio, vinculada al Ministerio de Educación Nacional. A su vez, la Ley 489 de 1998 que establece las disposiciones sobre la organización y funcionamiento de las entidades del orden nacional, señala en su artículo 38 que la Rama Ejecutiva del Poder Público, en lo que corresponde al sector descentralizado por servicios, está integrada por “las demás entidades administrativas nacionales con personería jurídica que cree, organice o autorice la ley para que formen parte de la Rama Ejecutiva del Poder Público”. </w:t>
      </w:r>
      <w:r w:rsidRPr="00577605">
        <w:rPr>
          <w:rFonts w:ascii="Arial Narrow" w:eastAsia="Arial Narrow" w:hAnsi="Arial Narrow" w:cs="Arial Narrow"/>
          <w:color w:val="000000"/>
          <w:sz w:val="24"/>
          <w:szCs w:val="24"/>
        </w:rPr>
        <w:t>De igual forma, el artículo 68 de la misma ley define como entidades del orden nacional a “las demás entidades creadas por la ley o con su autorización, cuyo objeto principal sea el ejercicio de funciones administrativas, la prestación de servicios públicos o la realización de actividades industriales o comerciales, con personería jurídica, autonomía administrativa y patrimonio propio”, dentro de las cuales se encuentra el ICETEX.</w:t>
      </w:r>
      <w:r w:rsidRPr="00D201E0">
        <w:rPr>
          <w:rFonts w:ascii="Arial Narrow" w:eastAsia="Arial Narrow" w:hAnsi="Arial Narrow" w:cs="Arial Narrow"/>
          <w:color w:val="000000"/>
          <w:sz w:val="24"/>
          <w:szCs w:val="24"/>
        </w:rPr>
        <w:t xml:space="preserve"> </w:t>
      </w:r>
    </w:p>
    <w:p w14:paraId="482EE45F" w14:textId="77777777"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49FBF178" w14:textId="77777777"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D201E0">
        <w:rPr>
          <w:rFonts w:ascii="Arial Narrow" w:eastAsia="Arial Narrow" w:hAnsi="Arial Narrow" w:cs="Arial Narrow"/>
          <w:color w:val="000000"/>
          <w:sz w:val="24"/>
          <w:szCs w:val="24"/>
        </w:rPr>
        <w:t xml:space="preserve">Ahora bien, el artículo 154 de la Constitución Política establece que algunas leyes solo pueden ser dictadas por iniciativa del Gobierno Nacional. Entre estas se encuentran las mencionadas en el </w:t>
      </w:r>
      <w:r w:rsidRPr="00D201E0">
        <w:rPr>
          <w:rFonts w:ascii="Arial Narrow" w:eastAsia="Arial Narrow" w:hAnsi="Arial Narrow" w:cs="Arial Narrow"/>
          <w:color w:val="000000"/>
          <w:sz w:val="24"/>
          <w:szCs w:val="24"/>
        </w:rPr>
        <w:lastRenderedPageBreak/>
        <w:t xml:space="preserve">numeral 7 del artículo 150 de la Carta Política, el cual dispone que corresponde al Congreso, por iniciativa gubernamental, “determinar la estructura de la administración nacional y crear, suprimir o fusionar ministerios, departamentos administrativos, superintendencias, establecimientos públicos y otras entidades del orden nacional, señalando sus objetivos y estructura orgánica” </w:t>
      </w:r>
    </w:p>
    <w:p w14:paraId="616B6414" w14:textId="77777777" w:rsidR="00D201E0" w:rsidRP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8B37452" w14:textId="1E09A8B0" w:rsidR="00183D77" w:rsidRPr="00183D77"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D201E0">
        <w:rPr>
          <w:rFonts w:ascii="Arial Narrow" w:eastAsia="Arial Narrow" w:hAnsi="Arial Narrow" w:cs="Arial Narrow"/>
          <w:color w:val="000000"/>
          <w:sz w:val="24"/>
          <w:szCs w:val="24"/>
        </w:rPr>
        <w:t>Por lo tanto, dado que el ICETEX hace parte del orden nacional y se encuentra dentro de las materias exceptuadas en el artículo 154 de la Constitución Política, cualquier reforma a su estructura, naturaleza jurídica u organización debe ser tramitada mediante una ley de iniciativa gubernamental, a fin de evitar posibles vicios en su trámite.</w:t>
      </w:r>
    </w:p>
    <w:p w14:paraId="4D641380" w14:textId="77777777" w:rsidR="00BC199C" w:rsidRDefault="00BC199C"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387DAD34" w14:textId="4CFBC02A" w:rsidR="00E06D6C" w:rsidRPr="002F06C8" w:rsidRDefault="00E06D6C"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bCs/>
          <w:color w:val="000000"/>
          <w:sz w:val="24"/>
          <w:szCs w:val="24"/>
        </w:rPr>
      </w:pPr>
      <w:r w:rsidRPr="002F06C8">
        <w:rPr>
          <w:rFonts w:ascii="Arial Narrow" w:eastAsia="Arial Narrow" w:hAnsi="Arial Narrow" w:cs="Arial Narrow"/>
          <w:b/>
          <w:bCs/>
          <w:color w:val="000000"/>
          <w:sz w:val="24"/>
          <w:szCs w:val="24"/>
        </w:rPr>
        <w:t>IMPACTO FISCAL</w:t>
      </w:r>
    </w:p>
    <w:p w14:paraId="48DAF7E8" w14:textId="77777777" w:rsidR="008C1902" w:rsidRDefault="008C1902"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7E6AAB3F" w14:textId="2E2894BC" w:rsidR="008C1902" w:rsidRPr="008C1902" w:rsidRDefault="008C1902"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8C1902">
        <w:rPr>
          <w:rFonts w:ascii="Arial Narrow" w:eastAsia="Arial Narrow" w:hAnsi="Arial Narrow" w:cs="Arial Narrow"/>
          <w:color w:val="000000"/>
          <w:sz w:val="24"/>
          <w:szCs w:val="24"/>
        </w:rPr>
        <w:t xml:space="preserve">La viabilidad fiscal se ha constituido como un elemento esencial y trascendental para la rama legislativa, puesto que cualquier modificación, creación y complemento de una iniciativa que implique repensarse el gato público, en el cual no se delimite el alcance financiero y económico que pueda llegar a significar un replanteamiento estructural de las asignaciones presupuestales. Por lo cual los insumos y el acompañamiento técnico del Ministerio de Hacienda en necesario para materializar cualquier propuesta de esta materia alrededor de la disponibilidad fiscal de mediano y corto </w:t>
      </w:r>
      <w:r w:rsidR="001F1A75" w:rsidRPr="008C1902">
        <w:rPr>
          <w:rFonts w:ascii="Arial Narrow" w:eastAsia="Arial Narrow" w:hAnsi="Arial Narrow" w:cs="Arial Narrow"/>
          <w:color w:val="000000"/>
          <w:sz w:val="24"/>
          <w:szCs w:val="24"/>
        </w:rPr>
        <w:t>plazo,</w:t>
      </w:r>
      <w:r w:rsidRPr="008C1902">
        <w:rPr>
          <w:rFonts w:ascii="Arial Narrow" w:eastAsia="Arial Narrow" w:hAnsi="Arial Narrow" w:cs="Arial Narrow"/>
          <w:color w:val="000000"/>
          <w:sz w:val="24"/>
          <w:szCs w:val="24"/>
        </w:rPr>
        <w:t xml:space="preserve"> así como la designación de nuevos fondos que permitan una materialización tangible de las iniciativas legislativas de esta magnitud. </w:t>
      </w:r>
    </w:p>
    <w:p w14:paraId="4577FAD4" w14:textId="77777777" w:rsidR="005B6A19" w:rsidRPr="008C1902" w:rsidRDefault="005B6A19"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22806A31" w14:textId="77777777" w:rsidR="005B6A19" w:rsidRPr="007D4A5D" w:rsidRDefault="005B6A19"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7D4A5D">
        <w:rPr>
          <w:rFonts w:ascii="Arial Narrow" w:eastAsia="Arial Narrow" w:hAnsi="Arial Narrow" w:cs="Arial Narrow"/>
          <w:color w:val="000000"/>
          <w:sz w:val="24"/>
          <w:szCs w:val="24"/>
        </w:rPr>
        <w:t xml:space="preserve">Según la ley </w:t>
      </w:r>
      <w:r w:rsidRPr="005B6A19">
        <w:rPr>
          <w:rFonts w:ascii="Arial Narrow" w:eastAsia="Arial Narrow" w:hAnsi="Arial Narrow" w:cs="Arial Narrow"/>
          <w:color w:val="000000"/>
          <w:sz w:val="24"/>
          <w:szCs w:val="24"/>
        </w:rPr>
        <w:t xml:space="preserve">819 </w:t>
      </w:r>
      <w:r w:rsidRPr="007D4A5D">
        <w:rPr>
          <w:rFonts w:ascii="Arial Narrow" w:eastAsia="Arial Narrow" w:hAnsi="Arial Narrow" w:cs="Arial Narrow"/>
          <w:color w:val="000000"/>
          <w:sz w:val="24"/>
          <w:szCs w:val="24"/>
        </w:rPr>
        <w:t>del</w:t>
      </w:r>
      <w:r w:rsidRPr="005B6A19">
        <w:rPr>
          <w:rFonts w:ascii="Arial Narrow" w:eastAsia="Arial Narrow" w:hAnsi="Arial Narrow" w:cs="Arial Narrow"/>
          <w:color w:val="000000"/>
          <w:sz w:val="24"/>
          <w:szCs w:val="24"/>
        </w:rPr>
        <w:t xml:space="preserve"> 2003</w:t>
      </w:r>
      <w:r w:rsidRPr="007D4A5D">
        <w:rPr>
          <w:rFonts w:ascii="Arial Narrow" w:eastAsia="Arial Narrow" w:hAnsi="Arial Narrow" w:cs="Arial Narrow"/>
          <w:color w:val="000000"/>
          <w:sz w:val="24"/>
          <w:szCs w:val="24"/>
        </w:rPr>
        <w:t xml:space="preserve">, </w:t>
      </w:r>
      <w:r w:rsidRPr="005B6A19">
        <w:rPr>
          <w:rFonts w:ascii="Arial Narrow" w:eastAsia="Arial Narrow" w:hAnsi="Arial Narrow" w:cs="Arial Narrow"/>
          <w:color w:val="000000"/>
          <w:sz w:val="24"/>
          <w:szCs w:val="24"/>
        </w:rPr>
        <w:t xml:space="preserve">Por la cual se dictan normas orgánicas en materia de presupuesto, responsabilidad y transparencia </w:t>
      </w:r>
      <w:r w:rsidRPr="007D4A5D">
        <w:rPr>
          <w:rFonts w:ascii="Arial Narrow" w:eastAsia="Arial Narrow" w:hAnsi="Arial Narrow" w:cs="Arial Narrow"/>
          <w:color w:val="000000"/>
          <w:sz w:val="24"/>
          <w:szCs w:val="24"/>
        </w:rPr>
        <w:t>fiscal y</w:t>
      </w:r>
      <w:r w:rsidRPr="005B6A19">
        <w:rPr>
          <w:rFonts w:ascii="Arial Narrow" w:eastAsia="Arial Narrow" w:hAnsi="Arial Narrow" w:cs="Arial Narrow"/>
          <w:color w:val="000000"/>
          <w:sz w:val="24"/>
          <w:szCs w:val="24"/>
        </w:rPr>
        <w:t xml:space="preserve"> se </w:t>
      </w:r>
      <w:r w:rsidRPr="007D4A5D">
        <w:rPr>
          <w:rFonts w:ascii="Arial Narrow" w:eastAsia="Arial Narrow" w:hAnsi="Arial Narrow" w:cs="Arial Narrow"/>
          <w:color w:val="000000"/>
          <w:sz w:val="24"/>
          <w:szCs w:val="24"/>
        </w:rPr>
        <w:t>dispone en su Artículo 7 en lo vinculado al Análisis del impacto fiscal de las normas:</w:t>
      </w:r>
    </w:p>
    <w:p w14:paraId="78008973" w14:textId="77777777" w:rsidR="005B6A19" w:rsidRPr="007D4A5D" w:rsidRDefault="005B6A19" w:rsidP="00174F25">
      <w:pPr>
        <w:pBdr>
          <w:top w:val="nil"/>
          <w:left w:val="nil"/>
          <w:bottom w:val="nil"/>
          <w:right w:val="nil"/>
          <w:between w:val="nil"/>
        </w:pBdr>
        <w:spacing w:after="0" w:line="240" w:lineRule="auto"/>
        <w:jc w:val="both"/>
        <w:rPr>
          <w:rFonts w:ascii="Arial Narrow" w:eastAsia="Arial Narrow" w:hAnsi="Arial Narrow" w:cs="Arial Narrow"/>
          <w:i/>
          <w:iCs/>
          <w:color w:val="000000"/>
          <w:sz w:val="24"/>
          <w:szCs w:val="24"/>
        </w:rPr>
      </w:pPr>
    </w:p>
    <w:p w14:paraId="7375DCCE" w14:textId="2F9F02DF" w:rsidR="005B6A19" w:rsidRPr="007D4A5D" w:rsidRDefault="005B6A19"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7D4A5D">
        <w:rPr>
          <w:rFonts w:ascii="Arial Narrow" w:eastAsia="Arial Narrow" w:hAnsi="Arial Narrow" w:cs="Arial Narrow"/>
          <w:i/>
          <w:iCs/>
          <w:color w:val="000000"/>
          <w:sz w:val="24"/>
          <w:szCs w:val="24"/>
        </w:rPr>
        <w:t xml:space="preserve"> “En todo momento, el impacto fiscal de cualquier proyecto de ley, ordenanza o acuerdo, que ordene gasto o que otorgue beneficios tributarios, deberá hacerse explícito y deberá ser compatible con el Marco Fiscal de Mediano Plazo.</w:t>
      </w:r>
    </w:p>
    <w:p w14:paraId="0BA4C4BF" w14:textId="77777777" w:rsidR="005B6A19" w:rsidRPr="007D4A5D" w:rsidRDefault="005B6A19"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p>
    <w:p w14:paraId="4B1C9B3E" w14:textId="77777777" w:rsidR="005B6A19" w:rsidRPr="007D4A5D" w:rsidRDefault="005B6A19"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7D4A5D">
        <w:rPr>
          <w:rFonts w:ascii="Arial Narrow" w:eastAsia="Arial Narrow" w:hAnsi="Arial Narrow" w:cs="Arial Narrow"/>
          <w:i/>
          <w:iCs/>
          <w:color w:val="000000"/>
          <w:sz w:val="24"/>
          <w:szCs w:val="24"/>
        </w:rPr>
        <w:t>Para estos propósitos, deberá incluirse expresamente en la exposición de motivos y en las ponencias de trámite respectivas los costos fiscales de la iniciativa y la fuente de ingreso adicional generada para el financiamiento de dicho costo.</w:t>
      </w:r>
    </w:p>
    <w:p w14:paraId="237C7AC8" w14:textId="77777777" w:rsidR="005B6A19" w:rsidRPr="007D4A5D" w:rsidRDefault="005B6A19"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p>
    <w:p w14:paraId="797F1BA7" w14:textId="77777777" w:rsidR="005B6A19" w:rsidRPr="007D4A5D" w:rsidRDefault="005B6A19"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7D4A5D">
        <w:rPr>
          <w:rFonts w:ascii="Arial Narrow" w:eastAsia="Arial Narrow" w:hAnsi="Arial Narrow" w:cs="Arial Narrow"/>
          <w:i/>
          <w:iCs/>
          <w:color w:val="000000"/>
          <w:sz w:val="24"/>
          <w:szCs w:val="24"/>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14:paraId="1C54BD12" w14:textId="77777777" w:rsidR="005B6A19" w:rsidRPr="007D4A5D" w:rsidRDefault="005B6A19"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p>
    <w:p w14:paraId="79E6287D" w14:textId="391936B2" w:rsidR="005B6A19" w:rsidRPr="007D4A5D" w:rsidRDefault="005B6A19"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7D4A5D">
        <w:rPr>
          <w:rFonts w:ascii="Arial Narrow" w:eastAsia="Arial Narrow" w:hAnsi="Arial Narrow" w:cs="Arial Narrow"/>
          <w:i/>
          <w:iCs/>
          <w:color w:val="000000"/>
          <w:sz w:val="24"/>
          <w:szCs w:val="24"/>
        </w:rPr>
        <w:t>Los proyectos de ley de iniciativa gubernamental, que planteen un gasto adicional o una reducción de ingresos, deberán contener la correspondiente fuente sustitutiva por disminución de gasto o aumentos de ingresos, lo cual deberá ser analizado y aprobado por el Ministerio de Hacienda y Crédito Público.</w:t>
      </w:r>
    </w:p>
    <w:p w14:paraId="0DAC3228" w14:textId="77777777" w:rsidR="005B6A19" w:rsidRPr="007D4A5D" w:rsidRDefault="005B6A19"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p>
    <w:p w14:paraId="55A5DAA5" w14:textId="543558CE" w:rsidR="005B6A19" w:rsidRDefault="005B6A19" w:rsidP="00174F25">
      <w:pPr>
        <w:pBdr>
          <w:top w:val="nil"/>
          <w:left w:val="nil"/>
          <w:bottom w:val="nil"/>
          <w:right w:val="nil"/>
          <w:between w:val="nil"/>
        </w:pBdr>
        <w:spacing w:after="0" w:line="240" w:lineRule="auto"/>
        <w:ind w:left="720"/>
        <w:jc w:val="both"/>
        <w:rPr>
          <w:rFonts w:ascii="Arial Narrow" w:eastAsia="Arial Narrow" w:hAnsi="Arial Narrow" w:cs="Arial Narrow"/>
          <w:i/>
          <w:iCs/>
          <w:color w:val="000000"/>
          <w:sz w:val="24"/>
          <w:szCs w:val="24"/>
        </w:rPr>
      </w:pPr>
      <w:r w:rsidRPr="007D4A5D">
        <w:rPr>
          <w:rFonts w:ascii="Arial Narrow" w:eastAsia="Arial Narrow" w:hAnsi="Arial Narrow" w:cs="Arial Narrow"/>
          <w:i/>
          <w:iCs/>
          <w:color w:val="000000"/>
          <w:sz w:val="24"/>
          <w:szCs w:val="24"/>
        </w:rPr>
        <w:lastRenderedPageBreak/>
        <w:t>En las entidades territoriales, el trámite previsto en el inciso anterior será surtido ante la respectiva Secretaría de Hacienda o quien haga sus veces”</w:t>
      </w:r>
    </w:p>
    <w:p w14:paraId="1FB007F8" w14:textId="77777777" w:rsidR="004E488B" w:rsidRDefault="004E488B" w:rsidP="00174F25">
      <w:pPr>
        <w:pBdr>
          <w:top w:val="nil"/>
          <w:left w:val="nil"/>
          <w:bottom w:val="nil"/>
          <w:right w:val="nil"/>
          <w:between w:val="nil"/>
        </w:pBdr>
        <w:spacing w:after="0" w:line="240" w:lineRule="auto"/>
        <w:jc w:val="both"/>
        <w:rPr>
          <w:rFonts w:ascii="Arial Narrow" w:eastAsia="Arial Narrow" w:hAnsi="Arial Narrow" w:cs="Arial Narrow"/>
          <w:i/>
          <w:iCs/>
          <w:color w:val="000000"/>
          <w:sz w:val="24"/>
          <w:szCs w:val="24"/>
        </w:rPr>
      </w:pPr>
    </w:p>
    <w:p w14:paraId="65E2611E" w14:textId="77777777" w:rsidR="008C1902" w:rsidRDefault="008C1902" w:rsidP="00174F25">
      <w:pPr>
        <w:pBdr>
          <w:top w:val="nil"/>
          <w:left w:val="nil"/>
          <w:bottom w:val="nil"/>
          <w:right w:val="nil"/>
          <w:between w:val="nil"/>
        </w:pBdr>
        <w:spacing w:after="0" w:line="240" w:lineRule="auto"/>
        <w:jc w:val="both"/>
        <w:rPr>
          <w:rFonts w:ascii="Arial Narrow" w:hAnsi="Arial Narrow"/>
        </w:rPr>
      </w:pPr>
      <w:r>
        <w:rPr>
          <w:rFonts w:ascii="Arial Narrow" w:hAnsi="Arial Narrow"/>
        </w:rPr>
        <w:t xml:space="preserve">También, el </w:t>
      </w:r>
      <w:r w:rsidR="004E488B" w:rsidRPr="004E488B">
        <w:rPr>
          <w:rFonts w:ascii="Arial Narrow" w:hAnsi="Arial Narrow"/>
        </w:rPr>
        <w:t xml:space="preserve">artículo 334 de la constitución Política, que </w:t>
      </w:r>
      <w:r>
        <w:rPr>
          <w:rFonts w:ascii="Arial Narrow" w:hAnsi="Arial Narrow"/>
        </w:rPr>
        <w:t>versa</w:t>
      </w:r>
      <w:r w:rsidR="004E488B" w:rsidRPr="004E488B">
        <w:rPr>
          <w:rFonts w:ascii="Arial Narrow" w:hAnsi="Arial Narrow"/>
        </w:rPr>
        <w:t>:</w:t>
      </w:r>
    </w:p>
    <w:p w14:paraId="0695DAA9" w14:textId="77777777" w:rsidR="008C1902" w:rsidRDefault="008C1902" w:rsidP="00174F25">
      <w:pPr>
        <w:pBdr>
          <w:top w:val="nil"/>
          <w:left w:val="nil"/>
          <w:bottom w:val="nil"/>
          <w:right w:val="nil"/>
          <w:between w:val="nil"/>
        </w:pBdr>
        <w:spacing w:after="0" w:line="240" w:lineRule="auto"/>
        <w:jc w:val="both"/>
        <w:rPr>
          <w:rFonts w:ascii="Arial Narrow" w:hAnsi="Arial Narrow"/>
        </w:rPr>
      </w:pPr>
    </w:p>
    <w:p w14:paraId="31D1D163" w14:textId="3DF22730" w:rsidR="00183D77" w:rsidRDefault="004E488B" w:rsidP="00174F25">
      <w:pPr>
        <w:pBdr>
          <w:top w:val="nil"/>
          <w:left w:val="nil"/>
          <w:bottom w:val="nil"/>
          <w:right w:val="nil"/>
          <w:between w:val="nil"/>
        </w:pBdr>
        <w:spacing w:after="0" w:line="240" w:lineRule="auto"/>
        <w:ind w:left="720"/>
        <w:jc w:val="both"/>
        <w:rPr>
          <w:rFonts w:ascii="Arial Narrow" w:hAnsi="Arial Narrow"/>
        </w:rPr>
      </w:pPr>
      <w:r w:rsidRPr="004E488B">
        <w:rPr>
          <w:rFonts w:ascii="Arial Narrow" w:hAnsi="Arial Narrow"/>
        </w:rPr>
        <w:t xml:space="preserve"> “La dirección general de la economía estará a cargo del Estado. Este intervendrá, por mandato de la ley, en la explotación de los recursos naturales, en el uso del suelo, en la producción, distribución, utilización y consumo de los bienes, y en los servicios públicos y privados, para racionalizar la economía con el fin de conseguir en el plano nacional y territorial, en un marco de sostenibilidad fiscal, el mejoramiento de la calidad de vida de los habitantes, la distribución equitativa de las oportunidades y los beneficios del desarrollo y la preservación de un ambiente sano. Dicho marco de sostenibilidad fiscal deberá fungir como instrumento para alcanzar de manera progresiva los objetivos del Estado</w:t>
      </w:r>
      <w:r w:rsidR="008C1902">
        <w:rPr>
          <w:rFonts w:ascii="Arial Narrow" w:hAnsi="Arial Narrow"/>
        </w:rPr>
        <w:t>.</w:t>
      </w:r>
    </w:p>
    <w:p w14:paraId="6D7738C4" w14:textId="77777777" w:rsidR="008C1902" w:rsidRDefault="008C1902" w:rsidP="00174F25">
      <w:pPr>
        <w:pBdr>
          <w:top w:val="nil"/>
          <w:left w:val="nil"/>
          <w:bottom w:val="nil"/>
          <w:right w:val="nil"/>
          <w:between w:val="nil"/>
        </w:pBdr>
        <w:spacing w:after="0" w:line="240" w:lineRule="auto"/>
        <w:jc w:val="both"/>
        <w:rPr>
          <w:rFonts w:ascii="Arial Narrow" w:hAnsi="Arial Narrow"/>
        </w:rPr>
      </w:pPr>
    </w:p>
    <w:p w14:paraId="63AD1B5C" w14:textId="77777777" w:rsidR="00A51AA8" w:rsidRDefault="001F1A75"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1F1A75">
        <w:rPr>
          <w:rFonts w:ascii="Arial Narrow" w:eastAsia="Arial Narrow" w:hAnsi="Arial Narrow" w:cs="Arial Narrow"/>
          <w:color w:val="000000"/>
          <w:sz w:val="24"/>
          <w:szCs w:val="24"/>
        </w:rPr>
        <w:t>Frente a este panorama, es fundamental destacar que los artículos 3, 4, 5, 7, 8, 9, 10 y 11 de la iniciativa carecen del respaldo técnico imprescindible para su correcta implementación. En otras palabras, aproximadamente el 50 % del proyecto de ley permanece en una situación de incertidumbre, dado que no cuenta con las claridades necesarias ni con un consenso consolidado con entidades clave como el Ministerio de Hacienda y el Ministerio de Educación Nacional. La falta de un acuerdo técnico y de una evaluación integral sobre los impactos fiscales, financieros y operativos de dichas disposiciones genera un riesgo significativo para la viabilidad de la reforma integral del ICETEX. Es esencial que, antes de avanzar en su aprobación, estas disposiciones sean objeto de un análisis riguroso que garantice su coherencia con la política fiscal y educativa del país, así como su sostenibilidad en el largo plazo</w:t>
      </w:r>
      <w:r>
        <w:rPr>
          <w:rFonts w:ascii="Arial Narrow" w:eastAsia="Arial Narrow" w:hAnsi="Arial Narrow" w:cs="Arial Narrow"/>
          <w:color w:val="000000"/>
          <w:sz w:val="24"/>
          <w:szCs w:val="24"/>
        </w:rPr>
        <w:t xml:space="preserve">. </w:t>
      </w:r>
    </w:p>
    <w:p w14:paraId="1F13EBE4" w14:textId="77777777" w:rsidR="00A51AA8" w:rsidRDefault="00A51AA8"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2A7F3383" w14:textId="02FF8167" w:rsidR="00984D57" w:rsidRDefault="001F1A75"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igual modo, es necesario la proyección del impacto fiscal para no comprometer “</w:t>
      </w:r>
      <w:r w:rsidRPr="001F1A75">
        <w:rPr>
          <w:rFonts w:ascii="Arial Narrow" w:eastAsia="Arial Narrow" w:hAnsi="Arial Narrow" w:cs="Arial Narrow"/>
          <w:color w:val="000000"/>
          <w:sz w:val="24"/>
          <w:szCs w:val="24"/>
        </w:rPr>
        <w:t>la operación de sus programas, el otorgamiento de subsidios y la implementación de las condonaciones en los créditos, al quedar estas últimas condicionadas a la “disponibilidad de recursos” y no a una asignación garantizada de los mismos</w:t>
      </w:r>
      <w:r>
        <w:rPr>
          <w:rFonts w:ascii="Arial Narrow" w:eastAsia="Arial Narrow" w:hAnsi="Arial Narrow" w:cs="Arial Narrow"/>
          <w:color w:val="000000"/>
          <w:sz w:val="24"/>
          <w:szCs w:val="24"/>
        </w:rPr>
        <w:t xml:space="preserve">”(Agencia Distrital para la Educación, la ciencia y la </w:t>
      </w:r>
      <w:r w:rsidR="00A51AA8">
        <w:rPr>
          <w:rFonts w:ascii="Arial Narrow" w:eastAsia="Arial Narrow" w:hAnsi="Arial Narrow" w:cs="Arial Narrow"/>
          <w:color w:val="000000"/>
          <w:sz w:val="24"/>
          <w:szCs w:val="24"/>
        </w:rPr>
        <w:t>Tecnología</w:t>
      </w:r>
      <w:r>
        <w:rPr>
          <w:rFonts w:ascii="Arial Narrow" w:eastAsia="Arial Narrow" w:hAnsi="Arial Narrow" w:cs="Arial Narrow"/>
          <w:color w:val="000000"/>
          <w:sz w:val="24"/>
          <w:szCs w:val="24"/>
        </w:rPr>
        <w:t xml:space="preserve"> )</w:t>
      </w:r>
      <w:r w:rsidR="00A51AA8">
        <w:rPr>
          <w:rFonts w:ascii="Arial Narrow" w:eastAsia="Arial Narrow" w:hAnsi="Arial Narrow" w:cs="Arial Narrow"/>
          <w:color w:val="000000"/>
          <w:sz w:val="24"/>
          <w:szCs w:val="24"/>
        </w:rPr>
        <w:t>, pues esta sección propia presupuestal independiente a las contempladas del Ministerio de Educación Nacional y Ministerio de Hacienda, genera incertidumbre sobre el flujo continuo de recursos que comprometa el crecimiento financiero del ICETEX.</w:t>
      </w:r>
    </w:p>
    <w:p w14:paraId="7311A4A0" w14:textId="77777777" w:rsidR="00D201E0"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2FC3D0D5" w14:textId="77C8C6F6" w:rsidR="00C5685A" w:rsidRDefault="00D201E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definitiva, a</w:t>
      </w:r>
      <w:r w:rsidR="00A51AA8" w:rsidRPr="00A51AA8">
        <w:rPr>
          <w:rFonts w:ascii="Arial Narrow" w:eastAsia="Arial Narrow" w:hAnsi="Arial Narrow" w:cs="Arial Narrow"/>
          <w:color w:val="000000"/>
          <w:sz w:val="24"/>
          <w:szCs w:val="24"/>
        </w:rPr>
        <w:t>l establecerse una sección independiente del ICETEX en el Presupuesto General de la Nación (PGN), se genera una implicación adicional en cuanto a la regulación del manejo presupuestal y financiero de la entidad. Esto significa que, a partir de dicha separación, el ICETEX estaría obligado a registrarse bajo el Estatuto Orgánico del Presupuesto, contenido en la Ley 1474 de 2011 y sus reglamentos, que establecen las normas específicas para la planificación, programación, presupuestación, ejecución y control del gasto público</w:t>
      </w:r>
      <w:r w:rsidR="006C2D00">
        <w:rPr>
          <w:rFonts w:ascii="Arial Narrow" w:eastAsia="Arial Narrow" w:hAnsi="Arial Narrow" w:cs="Arial Narrow"/>
          <w:color w:val="000000"/>
          <w:sz w:val="24"/>
          <w:szCs w:val="24"/>
        </w:rPr>
        <w:t>.</w:t>
      </w:r>
    </w:p>
    <w:p w14:paraId="6269C299" w14:textId="77777777" w:rsidR="006C2D00" w:rsidRDefault="006C2D0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4A559EDE" w14:textId="042D9F3A" w:rsidR="006C2D00" w:rsidRDefault="006C2D00"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bCs/>
          <w:color w:val="000000"/>
          <w:sz w:val="24"/>
          <w:szCs w:val="24"/>
        </w:rPr>
      </w:pPr>
      <w:r w:rsidRPr="006C2D00">
        <w:rPr>
          <w:rFonts w:ascii="Arial Narrow" w:eastAsia="Arial Narrow" w:hAnsi="Arial Narrow" w:cs="Arial Narrow"/>
          <w:color w:val="000000"/>
          <w:sz w:val="24"/>
          <w:szCs w:val="24"/>
        </w:rPr>
        <w:t xml:space="preserve"> </w:t>
      </w:r>
      <w:r w:rsidRPr="006C2D00">
        <w:rPr>
          <w:rFonts w:ascii="Arial Narrow" w:eastAsia="Arial Narrow" w:hAnsi="Arial Narrow" w:cs="Arial Narrow"/>
          <w:b/>
          <w:bCs/>
          <w:color w:val="000000"/>
          <w:sz w:val="24"/>
          <w:szCs w:val="24"/>
        </w:rPr>
        <w:t>RELACIÓN DE POSIBLES CONFLICTOS DE INTERÉS</w:t>
      </w:r>
      <w:r>
        <w:rPr>
          <w:rFonts w:ascii="Arial Narrow" w:eastAsia="Arial Narrow" w:hAnsi="Arial Narrow" w:cs="Arial Narrow"/>
          <w:b/>
          <w:bCs/>
          <w:color w:val="000000"/>
          <w:sz w:val="24"/>
          <w:szCs w:val="24"/>
        </w:rPr>
        <w:t>.</w:t>
      </w:r>
    </w:p>
    <w:p w14:paraId="35A93AE5" w14:textId="77777777" w:rsidR="006C2D00" w:rsidRPr="006C2D00" w:rsidRDefault="006C2D00" w:rsidP="00174F25">
      <w:pPr>
        <w:pStyle w:val="Prrafodelista"/>
        <w:pBdr>
          <w:top w:val="nil"/>
          <w:left w:val="nil"/>
          <w:bottom w:val="nil"/>
          <w:right w:val="nil"/>
          <w:between w:val="nil"/>
        </w:pBdr>
        <w:spacing w:line="240" w:lineRule="auto"/>
        <w:ind w:left="1080"/>
        <w:jc w:val="both"/>
        <w:rPr>
          <w:rFonts w:ascii="Arial Narrow" w:eastAsia="Arial Narrow" w:hAnsi="Arial Narrow" w:cs="Arial Narrow"/>
          <w:b/>
          <w:bCs/>
          <w:color w:val="000000"/>
          <w:sz w:val="24"/>
          <w:szCs w:val="24"/>
        </w:rPr>
      </w:pPr>
    </w:p>
    <w:p w14:paraId="7A8702FD" w14:textId="77777777" w:rsidR="006C2D00" w:rsidRPr="006C2D00" w:rsidRDefault="006C2D00" w:rsidP="0057760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t>El artículo 286 de la Ley 5 de 1992 define el conflicto de interés como una situación donde la</w:t>
      </w:r>
    </w:p>
    <w:p w14:paraId="288AAED4" w14:textId="77777777" w:rsidR="006C2D00" w:rsidRPr="006C2D00" w:rsidRDefault="006C2D00" w:rsidP="0057760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t>discusión o votación de un proyecto de Ley, acto legislativo o artículo, pueda resultar en un</w:t>
      </w:r>
    </w:p>
    <w:p w14:paraId="6B61CBDC" w14:textId="77777777" w:rsidR="006C2D00" w:rsidRPr="006C2D00" w:rsidRDefault="006C2D00" w:rsidP="0057760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t>beneficio particular, actual y directo a favor del congresista. En tal sentido, la jurisprudencia del</w:t>
      </w:r>
    </w:p>
    <w:p w14:paraId="21D6B6C0" w14:textId="77777777" w:rsidR="006C2D00" w:rsidRPr="006C2D00" w:rsidRDefault="006C2D00" w:rsidP="0057760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t>Consejo de Estado ha precisado que tal conflicto de interés se configura cuando se observa: “a)</w:t>
      </w:r>
    </w:p>
    <w:p w14:paraId="452DB918" w14:textId="77777777" w:rsidR="006C2D00" w:rsidRPr="006C2D00" w:rsidRDefault="006C2D00" w:rsidP="0057760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lastRenderedPageBreak/>
        <w:t>la existencia de un interés particular –de cualquier orden, incluso moral- del congresista en la</w:t>
      </w:r>
    </w:p>
    <w:p w14:paraId="0622A34A" w14:textId="77777777" w:rsidR="006C2D00" w:rsidRPr="006C2D00" w:rsidRDefault="006C2D00" w:rsidP="0057760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t>deliberación o decisión de un tema específico a cargo del Congreso; b) que efectivamente</w:t>
      </w:r>
    </w:p>
    <w:p w14:paraId="79DF11FD" w14:textId="77777777" w:rsidR="006C2D00" w:rsidRPr="006C2D00" w:rsidRDefault="006C2D00" w:rsidP="0057760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t>participe en la deliberación o decisión de ese tema en específico; c) que ese interés sea directo,</w:t>
      </w:r>
    </w:p>
    <w:p w14:paraId="7DC21B61" w14:textId="77777777" w:rsidR="006C2D00" w:rsidRPr="006C2D00" w:rsidRDefault="006C2D00" w:rsidP="0057760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t>no eventual o hipotético; d) que además el interés sea actual, y a) que el beneficio recibido no</w:t>
      </w:r>
    </w:p>
    <w:p w14:paraId="11EE1299" w14:textId="77777777" w:rsidR="006C2D00" w:rsidRDefault="006C2D00" w:rsidP="0057760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t>sea general sino particular</w:t>
      </w:r>
    </w:p>
    <w:p w14:paraId="07CBDCBA" w14:textId="77777777" w:rsidR="006C2D00" w:rsidRDefault="006C2D0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51BC7E0B" w14:textId="564CB74C" w:rsidR="006C2D00" w:rsidRPr="006C2D00" w:rsidRDefault="006C2D0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6C2D00">
        <w:rPr>
          <w:rFonts w:ascii="Arial Narrow" w:eastAsia="Arial Narrow" w:hAnsi="Arial Narrow" w:cs="Arial Narrow"/>
          <w:color w:val="000000"/>
          <w:sz w:val="24"/>
          <w:szCs w:val="24"/>
        </w:rPr>
        <w:t xml:space="preserve">Si bien la presente ponencia culmina con una solicitud de archivo, considera </w:t>
      </w:r>
      <w:r>
        <w:rPr>
          <w:rFonts w:ascii="Arial Narrow" w:eastAsia="Arial Narrow" w:hAnsi="Arial Narrow" w:cs="Arial Narrow"/>
          <w:color w:val="000000"/>
          <w:sz w:val="24"/>
          <w:szCs w:val="24"/>
        </w:rPr>
        <w:t>los</w:t>
      </w:r>
      <w:r w:rsidRPr="006C2D00">
        <w:rPr>
          <w:rFonts w:ascii="Arial Narrow" w:eastAsia="Arial Narrow" w:hAnsi="Arial Narrow" w:cs="Arial Narrow"/>
          <w:color w:val="000000"/>
          <w:sz w:val="24"/>
          <w:szCs w:val="24"/>
        </w:rPr>
        <w:t xml:space="preserve"> ponente</w:t>
      </w:r>
      <w:r>
        <w:rPr>
          <w:rFonts w:ascii="Arial Narrow" w:eastAsia="Arial Narrow" w:hAnsi="Arial Narrow" w:cs="Arial Narrow"/>
          <w:color w:val="000000"/>
          <w:sz w:val="24"/>
          <w:szCs w:val="24"/>
        </w:rPr>
        <w:t>s</w:t>
      </w:r>
      <w:r w:rsidRPr="006C2D00">
        <w:rPr>
          <w:rFonts w:ascii="Arial Narrow" w:eastAsia="Arial Narrow" w:hAnsi="Arial Narrow" w:cs="Arial Narrow"/>
          <w:color w:val="000000"/>
          <w:sz w:val="24"/>
          <w:szCs w:val="24"/>
        </w:rPr>
        <w:t xml:space="preserve"> </w:t>
      </w:r>
      <w:r w:rsidR="00577605" w:rsidRPr="006C2D00">
        <w:rPr>
          <w:rFonts w:ascii="Arial Narrow" w:eastAsia="Arial Narrow" w:hAnsi="Arial Narrow" w:cs="Arial Narrow"/>
          <w:color w:val="000000"/>
          <w:sz w:val="24"/>
          <w:szCs w:val="24"/>
        </w:rPr>
        <w:t>que,</w:t>
      </w:r>
      <w:r w:rsidRPr="006C2D00">
        <w:rPr>
          <w:rFonts w:ascii="Arial Narrow" w:eastAsia="Arial Narrow" w:hAnsi="Arial Narrow" w:cs="Arial Narrow"/>
          <w:color w:val="000000"/>
          <w:sz w:val="24"/>
          <w:szCs w:val="24"/>
        </w:rPr>
        <w:t xml:space="preserve"> de la discusión o trámite del presente Proyecto de </w:t>
      </w:r>
      <w:r w:rsidR="009C7355" w:rsidRPr="006C2D00">
        <w:rPr>
          <w:rFonts w:ascii="Arial Narrow" w:eastAsia="Arial Narrow" w:hAnsi="Arial Narrow" w:cs="Arial Narrow"/>
          <w:color w:val="000000"/>
          <w:sz w:val="24"/>
          <w:szCs w:val="24"/>
        </w:rPr>
        <w:t>Ley</w:t>
      </w:r>
      <w:r w:rsidR="009C7355">
        <w:rPr>
          <w:rFonts w:ascii="Arial Narrow" w:eastAsia="Arial Narrow" w:hAnsi="Arial Narrow" w:cs="Arial Narrow"/>
          <w:color w:val="000000"/>
          <w:sz w:val="24"/>
          <w:szCs w:val="24"/>
        </w:rPr>
        <w:t xml:space="preserve">, </w:t>
      </w:r>
      <w:r w:rsidR="009C7355" w:rsidRPr="006C2D00">
        <w:rPr>
          <w:rFonts w:ascii="Arial Narrow" w:eastAsia="Arial Narrow" w:hAnsi="Arial Narrow" w:cs="Arial Narrow"/>
          <w:color w:val="000000"/>
          <w:sz w:val="24"/>
          <w:szCs w:val="24"/>
        </w:rPr>
        <w:t>no</w:t>
      </w:r>
      <w:r w:rsidRPr="006C2D00">
        <w:rPr>
          <w:rFonts w:ascii="Arial Narrow" w:eastAsia="Arial Narrow" w:hAnsi="Arial Narrow" w:cs="Arial Narrow"/>
          <w:color w:val="000000"/>
          <w:sz w:val="24"/>
          <w:szCs w:val="24"/>
        </w:rPr>
        <w:t xml:space="preserve"> se podrían generar conflictos de interés </w:t>
      </w:r>
      <w:proofErr w:type="gramStart"/>
      <w:r w:rsidRPr="006C2D00">
        <w:rPr>
          <w:rFonts w:ascii="Arial Narrow" w:eastAsia="Arial Narrow" w:hAnsi="Arial Narrow" w:cs="Arial Narrow"/>
          <w:color w:val="000000"/>
          <w:sz w:val="24"/>
          <w:szCs w:val="24"/>
        </w:rPr>
        <w:t>en razón de</w:t>
      </w:r>
      <w:proofErr w:type="gramEnd"/>
      <w:r w:rsidRPr="006C2D00">
        <w:rPr>
          <w:rFonts w:ascii="Arial Narrow" w:eastAsia="Arial Narrow" w:hAnsi="Arial Narrow" w:cs="Arial Narrow"/>
          <w:color w:val="000000"/>
          <w:sz w:val="24"/>
          <w:szCs w:val="24"/>
        </w:rPr>
        <w:t xml:space="preserve"> beneficios particulares, actuales y directos a favor de un congresista, su cónyuge, compañero o compañera permanente o pariente dentro del segundo grado de consanguinidad, segundo de afinidad o primero civil, conforme a lo dispuesto en la ley. Fundamentalmente, el carácter general de las disposiciones y la determinación futura de la vigencia, cierran la posibilidad de conflictos actuales y directos.</w:t>
      </w:r>
    </w:p>
    <w:p w14:paraId="5EB2D4DA" w14:textId="77777777" w:rsidR="006C2D00" w:rsidRDefault="006C2D00"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37F4F379" w14:textId="77777777" w:rsidR="00D201E0" w:rsidRPr="007D4A5D" w:rsidRDefault="00D201E0" w:rsidP="00174F25">
      <w:pPr>
        <w:pBdr>
          <w:top w:val="nil"/>
          <w:left w:val="nil"/>
          <w:bottom w:val="nil"/>
          <w:right w:val="nil"/>
          <w:between w:val="nil"/>
        </w:pBdr>
        <w:spacing w:after="0" w:line="240" w:lineRule="auto"/>
        <w:jc w:val="both"/>
        <w:rPr>
          <w:rFonts w:ascii="Arial Narrow" w:eastAsia="Arial Narrow" w:hAnsi="Arial Narrow" w:cs="Arial Narrow"/>
          <w:i/>
          <w:iCs/>
          <w:color w:val="000000"/>
          <w:sz w:val="24"/>
          <w:szCs w:val="24"/>
        </w:rPr>
      </w:pPr>
    </w:p>
    <w:p w14:paraId="5ADBD717" w14:textId="104CEC83" w:rsidR="00C5685A" w:rsidRPr="002F06C8" w:rsidRDefault="00C5685A" w:rsidP="00174F25">
      <w:pPr>
        <w:pStyle w:val="Prrafodelista"/>
        <w:numPr>
          <w:ilvl w:val="0"/>
          <w:numId w:val="3"/>
        </w:numPr>
        <w:pBdr>
          <w:top w:val="nil"/>
          <w:left w:val="nil"/>
          <w:bottom w:val="nil"/>
          <w:right w:val="nil"/>
          <w:between w:val="nil"/>
        </w:pBdr>
        <w:spacing w:line="240" w:lineRule="auto"/>
        <w:jc w:val="both"/>
        <w:rPr>
          <w:rFonts w:ascii="Arial Narrow" w:eastAsia="Arial Narrow" w:hAnsi="Arial Narrow" w:cs="Arial Narrow"/>
          <w:b/>
          <w:bCs/>
          <w:color w:val="000000"/>
          <w:sz w:val="24"/>
          <w:szCs w:val="24"/>
        </w:rPr>
      </w:pPr>
      <w:r w:rsidRPr="002F06C8">
        <w:rPr>
          <w:rFonts w:ascii="Arial Narrow" w:eastAsia="Arial Narrow" w:hAnsi="Arial Narrow" w:cs="Arial Narrow"/>
          <w:b/>
          <w:bCs/>
          <w:color w:val="000000"/>
          <w:sz w:val="24"/>
          <w:szCs w:val="24"/>
        </w:rPr>
        <w:t>PROPOSICIÓN</w:t>
      </w:r>
    </w:p>
    <w:p w14:paraId="35595615" w14:textId="4F4BC5B6" w:rsidR="00C5685A" w:rsidRDefault="00C5685A" w:rsidP="00174F25">
      <w:pPr>
        <w:spacing w:before="240" w:after="240" w:line="240" w:lineRule="auto"/>
        <w:jc w:val="both"/>
        <w:rPr>
          <w:rFonts w:ascii="Arial Narrow" w:eastAsia="Arial Narrow" w:hAnsi="Arial Narrow" w:cs="Arial Narrow"/>
          <w:bCs/>
          <w:i/>
          <w:sz w:val="24"/>
          <w:szCs w:val="24"/>
        </w:rPr>
      </w:pPr>
      <w:r w:rsidRPr="007D4A5D">
        <w:rPr>
          <w:rFonts w:ascii="Arial Narrow" w:eastAsia="Arial Narrow" w:hAnsi="Arial Narrow" w:cs="Arial Narrow"/>
          <w:color w:val="000000"/>
          <w:sz w:val="24"/>
          <w:szCs w:val="24"/>
        </w:rPr>
        <w:t xml:space="preserve">Con fundamento en las anteriores consideraciones, presento PONENCIA NEGATIVA y de manera respetuosa solicito a la Comisión Primera Constitucional de la Cámara de Representantes ARCHIVAR el Proyecto de ley </w:t>
      </w:r>
      <w:r w:rsidRPr="007D4A5D">
        <w:rPr>
          <w:rFonts w:ascii="Arial Narrow" w:eastAsia="Arial Narrow" w:hAnsi="Arial Narrow" w:cs="Arial Narrow"/>
          <w:bCs/>
          <w:i/>
          <w:sz w:val="24"/>
          <w:szCs w:val="24"/>
        </w:rPr>
        <w:t>587 del 2025 Cámara “Por medio del cual se adopta una reforma estructural al ICETEX y se dictan otras disposiciones”</w:t>
      </w:r>
    </w:p>
    <w:p w14:paraId="579A56B1" w14:textId="77777777" w:rsidR="00D201E0" w:rsidRDefault="00D201E0" w:rsidP="00174F25">
      <w:pPr>
        <w:spacing w:before="240" w:after="240" w:line="240" w:lineRule="auto"/>
        <w:jc w:val="both"/>
        <w:rPr>
          <w:rFonts w:ascii="Arial Narrow" w:eastAsia="Arial Narrow" w:hAnsi="Arial Narrow" w:cs="Arial Narrow"/>
          <w:bCs/>
          <w:i/>
          <w:sz w:val="24"/>
          <w:szCs w:val="24"/>
        </w:rPr>
      </w:pPr>
    </w:p>
    <w:p w14:paraId="34C805E8" w14:textId="4B616A41" w:rsidR="00614F76" w:rsidRDefault="00577605"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De los congresistas, </w:t>
      </w:r>
    </w:p>
    <w:p w14:paraId="7DFCA2FD" w14:textId="77777777" w:rsidR="00577605" w:rsidRPr="007D4A5D" w:rsidRDefault="00577605"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tbl>
      <w:tblPr>
        <w:tblW w:w="9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C5685A" w:rsidRPr="00C5685A" w14:paraId="49E661DA" w14:textId="77777777" w:rsidTr="001C3079">
        <w:trPr>
          <w:trHeight w:val="2381"/>
          <w:jc w:val="center"/>
        </w:trPr>
        <w:tc>
          <w:tcPr>
            <w:tcW w:w="4697" w:type="dxa"/>
          </w:tcPr>
          <w:p w14:paraId="5952403A"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4376DF84"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42699AC0"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6862A2BF"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2B0A61EA"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485B1065"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6890C9FB"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15A1937A" w14:textId="6BA41F9B" w:rsidR="00C5685A" w:rsidRPr="00C5685A" w:rsidRDefault="00577605"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r w:rsidRPr="00C5685A">
              <w:rPr>
                <w:rFonts w:ascii="Arial Narrow" w:eastAsia="Arial Narrow" w:hAnsi="Arial Narrow" w:cs="Arial Narrow"/>
                <w:b/>
                <w:bCs/>
                <w:color w:val="000000"/>
                <w:sz w:val="24"/>
                <w:szCs w:val="24"/>
              </w:rPr>
              <w:t>PEDRO JOSÉ SUÁREZ VACCA</w:t>
            </w:r>
          </w:p>
          <w:p w14:paraId="72A37B5F"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r w:rsidRPr="00C5685A">
              <w:rPr>
                <w:rFonts w:ascii="Arial Narrow" w:eastAsia="Arial Narrow" w:hAnsi="Arial Narrow" w:cs="Arial Narrow"/>
                <w:b/>
                <w:bCs/>
                <w:color w:val="000000"/>
                <w:sz w:val="24"/>
                <w:szCs w:val="24"/>
              </w:rPr>
              <w:t>Representante a la Cámara</w:t>
            </w:r>
          </w:p>
          <w:p w14:paraId="04C0D35E"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tc>
        <w:tc>
          <w:tcPr>
            <w:tcW w:w="4697" w:type="dxa"/>
          </w:tcPr>
          <w:p w14:paraId="74796755"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707E0BD5"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2E98D035"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37785566"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1E710339"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70955B06"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2CD1F3A9" w14:textId="77777777" w:rsidR="00C5685A" w:rsidRPr="00C5685A" w:rsidRDefault="00C5685A"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1EA20D56" w14:textId="23F04704" w:rsidR="00C5685A" w:rsidRPr="00C5685A" w:rsidRDefault="00577605"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r w:rsidRPr="00C5685A">
              <w:rPr>
                <w:rFonts w:ascii="Arial Narrow" w:eastAsia="Arial Narrow" w:hAnsi="Arial Narrow" w:cs="Arial Narrow"/>
                <w:b/>
                <w:bCs/>
                <w:color w:val="000000"/>
                <w:sz w:val="24"/>
                <w:szCs w:val="24"/>
              </w:rPr>
              <w:t>LUIS ALBERTO ALBÁN URBANO</w:t>
            </w:r>
            <w:r w:rsidRPr="00C5685A">
              <w:rPr>
                <w:rFonts w:ascii="Arial Narrow" w:eastAsia="Arial Narrow" w:hAnsi="Arial Narrow" w:cs="Arial Narrow"/>
                <w:b/>
                <w:bCs/>
                <w:color w:val="000000"/>
                <w:sz w:val="24"/>
                <w:szCs w:val="24"/>
              </w:rPr>
              <w:t xml:space="preserve"> </w:t>
            </w:r>
            <w:r w:rsidR="00C5685A" w:rsidRPr="00C5685A">
              <w:rPr>
                <w:rFonts w:ascii="Arial Narrow" w:eastAsia="Arial Narrow" w:hAnsi="Arial Narrow" w:cs="Arial Narrow"/>
                <w:b/>
                <w:bCs/>
                <w:color w:val="000000"/>
                <w:sz w:val="24"/>
                <w:szCs w:val="24"/>
              </w:rPr>
              <w:t>Representante a la Cámara</w:t>
            </w:r>
          </w:p>
        </w:tc>
      </w:tr>
    </w:tbl>
    <w:p w14:paraId="723FBE9C" w14:textId="77777777" w:rsidR="00614F76" w:rsidRPr="007D4A5D" w:rsidRDefault="00614F76" w:rsidP="00174F25">
      <w:pPr>
        <w:pBdr>
          <w:top w:val="nil"/>
          <w:left w:val="nil"/>
          <w:bottom w:val="nil"/>
          <w:right w:val="nil"/>
          <w:between w:val="nil"/>
        </w:pBdr>
        <w:spacing w:after="0" w:line="240" w:lineRule="auto"/>
        <w:jc w:val="both"/>
        <w:rPr>
          <w:rFonts w:ascii="Arial Narrow" w:eastAsia="Arial Narrow" w:hAnsi="Arial Narrow" w:cs="Arial Narrow"/>
          <w:b/>
          <w:bCs/>
          <w:color w:val="000000"/>
          <w:sz w:val="24"/>
          <w:szCs w:val="24"/>
        </w:rPr>
      </w:pPr>
    </w:p>
    <w:p w14:paraId="722C4CCE"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288B7FD6"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AB3F81B"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3541E299"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3B9EE9AA"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5A76EFAE"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1FD5C6A5"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67327903"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16595676"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7C56B5B2"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25855CC9"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8454CE3"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6560429D" w14:textId="77777777" w:rsidR="0067007E" w:rsidRPr="007D4A5D" w:rsidRDefault="0067007E" w:rsidP="00174F25">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sectPr w:rsidR="0067007E" w:rsidRPr="007D4A5D">
      <w:headerReference w:type="default" r:id="rId9"/>
      <w:footerReference w:type="default" r:id="rId10"/>
      <w:pgSz w:w="12240" w:h="15840"/>
      <w:pgMar w:top="2210" w:right="1701" w:bottom="1417" w:left="1701" w:header="708" w:footer="1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DC760" w14:textId="77777777" w:rsidR="00C84AD2" w:rsidRDefault="00C84AD2">
      <w:pPr>
        <w:spacing w:after="0" w:line="240" w:lineRule="auto"/>
      </w:pPr>
      <w:r>
        <w:separator/>
      </w:r>
    </w:p>
  </w:endnote>
  <w:endnote w:type="continuationSeparator" w:id="0">
    <w:p w14:paraId="7986FCAA" w14:textId="77777777" w:rsidR="00C84AD2" w:rsidRDefault="00C84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1036A2A2-226C-4DC8-BBA0-272E390A0CEF}"/>
    <w:embedBold r:id="rId2" w:fontKey="{B1EE49FB-F56C-4C13-A0B4-25FAB53B7A38}"/>
    <w:embedItalic r:id="rId3" w:fontKey="{5EFBDA7A-D1C1-4A3F-BFBF-71EF1033BCE0}"/>
    <w:embedBoldItalic r:id="rId4" w:fontKey="{360924BB-91FF-4999-8BE3-A7B791489FD8}"/>
  </w:font>
  <w:font w:name="Calibri">
    <w:panose1 w:val="020F0502020204030204"/>
    <w:charset w:val="00"/>
    <w:family w:val="swiss"/>
    <w:pitch w:val="variable"/>
    <w:sig w:usb0="E4002EFF" w:usb1="C200247B" w:usb2="00000009" w:usb3="00000000" w:csb0="000001FF" w:csb1="00000000"/>
    <w:embedRegular r:id="rId5" w:fontKey="{37BE8D57-CD77-4A39-914B-AB7811B346FE}"/>
    <w:embedBold r:id="rId6" w:fontKey="{919B5454-2DE1-4743-A461-C0F388F246F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E13EB9ED-0989-4598-9D39-B5C7A662DC3F}"/>
  </w:font>
  <w:font w:name="Georgia">
    <w:panose1 w:val="02040502050405020303"/>
    <w:charset w:val="00"/>
    <w:family w:val="roman"/>
    <w:pitch w:val="variable"/>
    <w:sig w:usb0="00000287" w:usb1="00000000" w:usb2="00000000" w:usb3="00000000" w:csb0="0000009F" w:csb1="00000000"/>
    <w:embedRegular r:id="rId8" w:fontKey="{4F00B2A4-F77D-4451-9145-BDDB272DCE6A}"/>
    <w:embedItalic r:id="rId9" w:fontKey="{58158677-45AC-4180-9539-174D80FA0823}"/>
  </w:font>
  <w:font w:name="Calibri Light">
    <w:panose1 w:val="020F0302020204030204"/>
    <w:charset w:val="00"/>
    <w:family w:val="swiss"/>
    <w:pitch w:val="variable"/>
    <w:sig w:usb0="E4002EFF" w:usb1="C200247B" w:usb2="00000009" w:usb3="00000000" w:csb0="000001FF" w:csb1="00000000"/>
    <w:embedRegular r:id="rId10" w:fontKey="{EE9D2711-080F-47B6-9D75-A72CEB63CF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87539"/>
      <w:docPartObj>
        <w:docPartGallery w:val="Page Numbers (Bottom of Page)"/>
        <w:docPartUnique/>
      </w:docPartObj>
    </w:sdtPr>
    <w:sdtContent>
      <w:p w14:paraId="607BC9F7" w14:textId="6B6C08BD" w:rsidR="00577605" w:rsidRDefault="00577605">
        <w:pPr>
          <w:pStyle w:val="Piedepgina"/>
          <w:jc w:val="right"/>
        </w:pPr>
        <w:r>
          <w:fldChar w:fldCharType="begin"/>
        </w:r>
        <w:r>
          <w:instrText>PAGE   \* MERGEFORMAT</w:instrText>
        </w:r>
        <w:r>
          <w:fldChar w:fldCharType="separate"/>
        </w:r>
        <w:r>
          <w:rPr>
            <w:lang w:val="es-MX"/>
          </w:rPr>
          <w:t>2</w:t>
        </w:r>
        <w:r>
          <w:fldChar w:fldCharType="end"/>
        </w:r>
      </w:p>
    </w:sdtContent>
  </w:sdt>
  <w:p w14:paraId="050C35CD" w14:textId="77777777" w:rsidR="0067007E" w:rsidRDefault="0067007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F5ED4" w14:textId="77777777" w:rsidR="00C84AD2" w:rsidRDefault="00C84AD2">
      <w:pPr>
        <w:spacing w:after="0" w:line="240" w:lineRule="auto"/>
      </w:pPr>
      <w:r>
        <w:separator/>
      </w:r>
    </w:p>
  </w:footnote>
  <w:footnote w:type="continuationSeparator" w:id="0">
    <w:p w14:paraId="0FA86E83" w14:textId="77777777" w:rsidR="00C84AD2" w:rsidRDefault="00C84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2A9E7" w14:textId="77777777" w:rsidR="0067007E"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9A11F4D" wp14:editId="253A9A87">
          <wp:simplePos x="0" y="0"/>
          <wp:positionH relativeFrom="column">
            <wp:posOffset>-1043304</wp:posOffset>
          </wp:positionH>
          <wp:positionV relativeFrom="paragraph">
            <wp:posOffset>-452119</wp:posOffset>
          </wp:positionV>
          <wp:extent cx="3061970" cy="1353185"/>
          <wp:effectExtent l="0" t="0" r="0" b="0"/>
          <wp:wrapNone/>
          <wp:docPr id="20635117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061970" cy="1353185"/>
                  </a:xfrm>
                  <a:prstGeom prst="rect">
                    <a:avLst/>
                  </a:prstGeom>
                  <a:ln/>
                </pic:spPr>
              </pic:pic>
            </a:graphicData>
          </a:graphic>
        </wp:anchor>
      </w:drawing>
    </w:r>
    <w:r>
      <w:rPr>
        <w:noProof/>
      </w:rPr>
      <w:drawing>
        <wp:anchor distT="0" distB="0" distL="0" distR="0" simplePos="0" relativeHeight="251659264" behindDoc="1" locked="0" layoutInCell="1" hidden="0" allowOverlap="1" wp14:anchorId="5446E071" wp14:editId="3E1D401E">
          <wp:simplePos x="0" y="0"/>
          <wp:positionH relativeFrom="column">
            <wp:posOffset>4445635</wp:posOffset>
          </wp:positionH>
          <wp:positionV relativeFrom="paragraph">
            <wp:posOffset>-267969</wp:posOffset>
          </wp:positionV>
          <wp:extent cx="1941254" cy="952500"/>
          <wp:effectExtent l="0" t="0" r="0" b="0"/>
          <wp:wrapNone/>
          <wp:docPr id="20635117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941254" cy="9525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3319C6A" wp14:editId="214A35FF">
          <wp:simplePos x="0" y="0"/>
          <wp:positionH relativeFrom="column">
            <wp:posOffset>-1078228</wp:posOffset>
          </wp:positionH>
          <wp:positionV relativeFrom="paragraph">
            <wp:posOffset>2741295</wp:posOffset>
          </wp:positionV>
          <wp:extent cx="5610225" cy="6848475"/>
          <wp:effectExtent l="0" t="0" r="0" b="0"/>
          <wp:wrapNone/>
          <wp:docPr id="20635117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610225" cy="6848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14DAD"/>
    <w:multiLevelType w:val="multilevel"/>
    <w:tmpl w:val="6AA8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CF0D4C"/>
    <w:multiLevelType w:val="multilevel"/>
    <w:tmpl w:val="B9F454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5F1A55"/>
    <w:multiLevelType w:val="hybridMultilevel"/>
    <w:tmpl w:val="A5260CB6"/>
    <w:lvl w:ilvl="0" w:tplc="E36A156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7097FD9"/>
    <w:multiLevelType w:val="hybridMultilevel"/>
    <w:tmpl w:val="52F4B0A6"/>
    <w:lvl w:ilvl="0" w:tplc="6DF251D4">
      <w:start w:val="1"/>
      <w:numFmt w:val="bullet"/>
      <w:lvlText w:val="-"/>
      <w:lvlJc w:val="left"/>
      <w:pPr>
        <w:ind w:left="720" w:hanging="360"/>
      </w:pPr>
      <w:rPr>
        <w:rFonts w:ascii="Arial Narrow" w:eastAsia="Arial Narrow" w:hAnsi="Arial Narrow" w:cs="Arial Narrow" w:hint="default"/>
        <w:b/>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84762399">
    <w:abstractNumId w:val="0"/>
  </w:num>
  <w:num w:numId="2" w16cid:durableId="1815223289">
    <w:abstractNumId w:val="1"/>
  </w:num>
  <w:num w:numId="3" w16cid:durableId="1530725038">
    <w:abstractNumId w:val="2"/>
  </w:num>
  <w:num w:numId="4" w16cid:durableId="21324364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07E"/>
    <w:rsid w:val="00077A85"/>
    <w:rsid w:val="00174F25"/>
    <w:rsid w:val="00183D77"/>
    <w:rsid w:val="001954F6"/>
    <w:rsid w:val="001B11D4"/>
    <w:rsid w:val="001B5D2B"/>
    <w:rsid w:val="001C01A3"/>
    <w:rsid w:val="001C5E24"/>
    <w:rsid w:val="001F1A75"/>
    <w:rsid w:val="00225F2B"/>
    <w:rsid w:val="0026394B"/>
    <w:rsid w:val="00272848"/>
    <w:rsid w:val="002F06C8"/>
    <w:rsid w:val="00300535"/>
    <w:rsid w:val="003639E4"/>
    <w:rsid w:val="003720D9"/>
    <w:rsid w:val="004B1B8B"/>
    <w:rsid w:val="004E488B"/>
    <w:rsid w:val="0051791E"/>
    <w:rsid w:val="00573227"/>
    <w:rsid w:val="00577605"/>
    <w:rsid w:val="005B6A19"/>
    <w:rsid w:val="005D4456"/>
    <w:rsid w:val="00614F76"/>
    <w:rsid w:val="00626284"/>
    <w:rsid w:val="006568A9"/>
    <w:rsid w:val="0067007E"/>
    <w:rsid w:val="006C2D00"/>
    <w:rsid w:val="006D23C0"/>
    <w:rsid w:val="006F0EB1"/>
    <w:rsid w:val="006F4015"/>
    <w:rsid w:val="007D4936"/>
    <w:rsid w:val="007D4A5D"/>
    <w:rsid w:val="00892BD1"/>
    <w:rsid w:val="008A1E3F"/>
    <w:rsid w:val="008C1902"/>
    <w:rsid w:val="008D4A2C"/>
    <w:rsid w:val="00921512"/>
    <w:rsid w:val="00984D57"/>
    <w:rsid w:val="009A2DC9"/>
    <w:rsid w:val="009C7355"/>
    <w:rsid w:val="00A51AA8"/>
    <w:rsid w:val="00A821A0"/>
    <w:rsid w:val="00AA2225"/>
    <w:rsid w:val="00B74418"/>
    <w:rsid w:val="00B86D58"/>
    <w:rsid w:val="00BC199C"/>
    <w:rsid w:val="00C5685A"/>
    <w:rsid w:val="00C84AD2"/>
    <w:rsid w:val="00CE2A3F"/>
    <w:rsid w:val="00D201E0"/>
    <w:rsid w:val="00E06D6C"/>
    <w:rsid w:val="00E31B0C"/>
    <w:rsid w:val="00F817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6676C"/>
  <w15:docId w15:val="{71A95F2A-E4CA-4F64-955F-961B9380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85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C16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6A4"/>
  </w:style>
  <w:style w:type="paragraph" w:styleId="Piedepgina">
    <w:name w:val="footer"/>
    <w:basedOn w:val="Normal"/>
    <w:link w:val="PiedepginaCar"/>
    <w:uiPriority w:val="99"/>
    <w:unhideWhenUsed/>
    <w:rsid w:val="00CC16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6A4"/>
  </w:style>
  <w:style w:type="character" w:styleId="Hipervnculo">
    <w:name w:val="Hyperlink"/>
    <w:basedOn w:val="Fuentedeprrafopredeter"/>
    <w:uiPriority w:val="99"/>
    <w:unhideWhenUsed/>
    <w:rsid w:val="00F4460A"/>
    <w:rPr>
      <w:color w:val="0563C1" w:themeColor="hyperlink"/>
      <w:u w:val="single"/>
    </w:rPr>
  </w:style>
  <w:style w:type="table" w:styleId="Tablaconcuadrcula">
    <w:name w:val="Table Grid"/>
    <w:basedOn w:val="Tablanormal"/>
    <w:uiPriority w:val="39"/>
    <w:rsid w:val="00925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5AB5"/>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925AB5"/>
    <w:pPr>
      <w:spacing w:after="0" w:line="276" w:lineRule="auto"/>
      <w:ind w:left="720"/>
      <w:contextualSpacing/>
    </w:pPr>
    <w:rPr>
      <w:rFonts w:ascii="Arial" w:eastAsia="Arial" w:hAnsi="Arial" w:cs="Arial"/>
      <w:lang w:val="es" w:eastAsia="es-ES_tradnl"/>
    </w:rPr>
  </w:style>
  <w:style w:type="paragraph" w:styleId="Sinespaciado">
    <w:name w:val="No Spacing"/>
    <w:uiPriority w:val="1"/>
    <w:qFormat/>
    <w:rsid w:val="00367F89"/>
    <w:pPr>
      <w:spacing w:after="0" w:line="240" w:lineRule="auto"/>
    </w:pPr>
  </w:style>
  <w:style w:type="paragraph" w:styleId="Textodeglobo">
    <w:name w:val="Balloon Text"/>
    <w:basedOn w:val="Normal"/>
    <w:link w:val="TextodegloboCar"/>
    <w:uiPriority w:val="99"/>
    <w:semiHidden/>
    <w:unhideWhenUsed/>
    <w:rsid w:val="006D73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732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57760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77605"/>
    <w:rPr>
      <w:sz w:val="20"/>
      <w:szCs w:val="20"/>
    </w:rPr>
  </w:style>
  <w:style w:type="character" w:styleId="Refdenotaalpie">
    <w:name w:val="footnote reference"/>
    <w:basedOn w:val="Fuentedeprrafopredeter"/>
    <w:uiPriority w:val="99"/>
    <w:semiHidden/>
    <w:unhideWhenUsed/>
    <w:rsid w:val="005776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76479">
      <w:bodyDiv w:val="1"/>
      <w:marLeft w:val="0"/>
      <w:marRight w:val="0"/>
      <w:marTop w:val="0"/>
      <w:marBottom w:val="0"/>
      <w:divBdr>
        <w:top w:val="none" w:sz="0" w:space="0" w:color="auto"/>
        <w:left w:val="none" w:sz="0" w:space="0" w:color="auto"/>
        <w:bottom w:val="none" w:sz="0" w:space="0" w:color="auto"/>
        <w:right w:val="none" w:sz="0" w:space="0" w:color="auto"/>
      </w:divBdr>
    </w:div>
    <w:div w:id="359281674">
      <w:bodyDiv w:val="1"/>
      <w:marLeft w:val="0"/>
      <w:marRight w:val="0"/>
      <w:marTop w:val="0"/>
      <w:marBottom w:val="0"/>
      <w:divBdr>
        <w:top w:val="none" w:sz="0" w:space="0" w:color="auto"/>
        <w:left w:val="none" w:sz="0" w:space="0" w:color="auto"/>
        <w:bottom w:val="none" w:sz="0" w:space="0" w:color="auto"/>
        <w:right w:val="none" w:sz="0" w:space="0" w:color="auto"/>
      </w:divBdr>
    </w:div>
    <w:div w:id="491651544">
      <w:bodyDiv w:val="1"/>
      <w:marLeft w:val="0"/>
      <w:marRight w:val="0"/>
      <w:marTop w:val="0"/>
      <w:marBottom w:val="0"/>
      <w:divBdr>
        <w:top w:val="none" w:sz="0" w:space="0" w:color="auto"/>
        <w:left w:val="none" w:sz="0" w:space="0" w:color="auto"/>
        <w:bottom w:val="none" w:sz="0" w:space="0" w:color="auto"/>
        <w:right w:val="none" w:sz="0" w:space="0" w:color="auto"/>
      </w:divBdr>
    </w:div>
    <w:div w:id="514466091">
      <w:bodyDiv w:val="1"/>
      <w:marLeft w:val="0"/>
      <w:marRight w:val="0"/>
      <w:marTop w:val="0"/>
      <w:marBottom w:val="0"/>
      <w:divBdr>
        <w:top w:val="none" w:sz="0" w:space="0" w:color="auto"/>
        <w:left w:val="none" w:sz="0" w:space="0" w:color="auto"/>
        <w:bottom w:val="none" w:sz="0" w:space="0" w:color="auto"/>
        <w:right w:val="none" w:sz="0" w:space="0" w:color="auto"/>
      </w:divBdr>
    </w:div>
    <w:div w:id="807209553">
      <w:bodyDiv w:val="1"/>
      <w:marLeft w:val="0"/>
      <w:marRight w:val="0"/>
      <w:marTop w:val="0"/>
      <w:marBottom w:val="0"/>
      <w:divBdr>
        <w:top w:val="none" w:sz="0" w:space="0" w:color="auto"/>
        <w:left w:val="none" w:sz="0" w:space="0" w:color="auto"/>
        <w:bottom w:val="none" w:sz="0" w:space="0" w:color="auto"/>
        <w:right w:val="none" w:sz="0" w:space="0" w:color="auto"/>
      </w:divBdr>
    </w:div>
    <w:div w:id="860506286">
      <w:bodyDiv w:val="1"/>
      <w:marLeft w:val="0"/>
      <w:marRight w:val="0"/>
      <w:marTop w:val="0"/>
      <w:marBottom w:val="0"/>
      <w:divBdr>
        <w:top w:val="none" w:sz="0" w:space="0" w:color="auto"/>
        <w:left w:val="none" w:sz="0" w:space="0" w:color="auto"/>
        <w:bottom w:val="none" w:sz="0" w:space="0" w:color="auto"/>
        <w:right w:val="none" w:sz="0" w:space="0" w:color="auto"/>
      </w:divBdr>
    </w:div>
    <w:div w:id="1025519941">
      <w:bodyDiv w:val="1"/>
      <w:marLeft w:val="0"/>
      <w:marRight w:val="0"/>
      <w:marTop w:val="0"/>
      <w:marBottom w:val="0"/>
      <w:divBdr>
        <w:top w:val="none" w:sz="0" w:space="0" w:color="auto"/>
        <w:left w:val="none" w:sz="0" w:space="0" w:color="auto"/>
        <w:bottom w:val="none" w:sz="0" w:space="0" w:color="auto"/>
        <w:right w:val="none" w:sz="0" w:space="0" w:color="auto"/>
      </w:divBdr>
    </w:div>
    <w:div w:id="1109086316">
      <w:bodyDiv w:val="1"/>
      <w:marLeft w:val="0"/>
      <w:marRight w:val="0"/>
      <w:marTop w:val="0"/>
      <w:marBottom w:val="0"/>
      <w:divBdr>
        <w:top w:val="none" w:sz="0" w:space="0" w:color="auto"/>
        <w:left w:val="none" w:sz="0" w:space="0" w:color="auto"/>
        <w:bottom w:val="none" w:sz="0" w:space="0" w:color="auto"/>
        <w:right w:val="none" w:sz="0" w:space="0" w:color="auto"/>
      </w:divBdr>
    </w:div>
    <w:div w:id="1143811928">
      <w:bodyDiv w:val="1"/>
      <w:marLeft w:val="0"/>
      <w:marRight w:val="0"/>
      <w:marTop w:val="0"/>
      <w:marBottom w:val="0"/>
      <w:divBdr>
        <w:top w:val="none" w:sz="0" w:space="0" w:color="auto"/>
        <w:left w:val="none" w:sz="0" w:space="0" w:color="auto"/>
        <w:bottom w:val="none" w:sz="0" w:space="0" w:color="auto"/>
        <w:right w:val="none" w:sz="0" w:space="0" w:color="auto"/>
      </w:divBdr>
    </w:div>
    <w:div w:id="1167864735">
      <w:bodyDiv w:val="1"/>
      <w:marLeft w:val="0"/>
      <w:marRight w:val="0"/>
      <w:marTop w:val="0"/>
      <w:marBottom w:val="0"/>
      <w:divBdr>
        <w:top w:val="none" w:sz="0" w:space="0" w:color="auto"/>
        <w:left w:val="none" w:sz="0" w:space="0" w:color="auto"/>
        <w:bottom w:val="none" w:sz="0" w:space="0" w:color="auto"/>
        <w:right w:val="none" w:sz="0" w:space="0" w:color="auto"/>
      </w:divBdr>
    </w:div>
    <w:div w:id="1330056857">
      <w:bodyDiv w:val="1"/>
      <w:marLeft w:val="0"/>
      <w:marRight w:val="0"/>
      <w:marTop w:val="0"/>
      <w:marBottom w:val="0"/>
      <w:divBdr>
        <w:top w:val="none" w:sz="0" w:space="0" w:color="auto"/>
        <w:left w:val="none" w:sz="0" w:space="0" w:color="auto"/>
        <w:bottom w:val="none" w:sz="0" w:space="0" w:color="auto"/>
        <w:right w:val="none" w:sz="0" w:space="0" w:color="auto"/>
      </w:divBdr>
    </w:div>
    <w:div w:id="1426684712">
      <w:bodyDiv w:val="1"/>
      <w:marLeft w:val="0"/>
      <w:marRight w:val="0"/>
      <w:marTop w:val="0"/>
      <w:marBottom w:val="0"/>
      <w:divBdr>
        <w:top w:val="none" w:sz="0" w:space="0" w:color="auto"/>
        <w:left w:val="none" w:sz="0" w:space="0" w:color="auto"/>
        <w:bottom w:val="none" w:sz="0" w:space="0" w:color="auto"/>
        <w:right w:val="none" w:sz="0" w:space="0" w:color="auto"/>
      </w:divBdr>
    </w:div>
    <w:div w:id="1476752303">
      <w:bodyDiv w:val="1"/>
      <w:marLeft w:val="0"/>
      <w:marRight w:val="0"/>
      <w:marTop w:val="0"/>
      <w:marBottom w:val="0"/>
      <w:divBdr>
        <w:top w:val="none" w:sz="0" w:space="0" w:color="auto"/>
        <w:left w:val="none" w:sz="0" w:space="0" w:color="auto"/>
        <w:bottom w:val="none" w:sz="0" w:space="0" w:color="auto"/>
        <w:right w:val="none" w:sz="0" w:space="0" w:color="auto"/>
      </w:divBdr>
    </w:div>
    <w:div w:id="1697660330">
      <w:bodyDiv w:val="1"/>
      <w:marLeft w:val="0"/>
      <w:marRight w:val="0"/>
      <w:marTop w:val="0"/>
      <w:marBottom w:val="0"/>
      <w:divBdr>
        <w:top w:val="none" w:sz="0" w:space="0" w:color="auto"/>
        <w:left w:val="none" w:sz="0" w:space="0" w:color="auto"/>
        <w:bottom w:val="none" w:sz="0" w:space="0" w:color="auto"/>
        <w:right w:val="none" w:sz="0" w:space="0" w:color="auto"/>
      </w:divBdr>
    </w:div>
    <w:div w:id="1708723910">
      <w:bodyDiv w:val="1"/>
      <w:marLeft w:val="0"/>
      <w:marRight w:val="0"/>
      <w:marTop w:val="0"/>
      <w:marBottom w:val="0"/>
      <w:divBdr>
        <w:top w:val="none" w:sz="0" w:space="0" w:color="auto"/>
        <w:left w:val="none" w:sz="0" w:space="0" w:color="auto"/>
        <w:bottom w:val="none" w:sz="0" w:space="0" w:color="auto"/>
        <w:right w:val="none" w:sz="0" w:space="0" w:color="auto"/>
      </w:divBdr>
    </w:div>
    <w:div w:id="1933707937">
      <w:bodyDiv w:val="1"/>
      <w:marLeft w:val="0"/>
      <w:marRight w:val="0"/>
      <w:marTop w:val="0"/>
      <w:marBottom w:val="0"/>
      <w:divBdr>
        <w:top w:val="none" w:sz="0" w:space="0" w:color="auto"/>
        <w:left w:val="none" w:sz="0" w:space="0" w:color="auto"/>
        <w:bottom w:val="none" w:sz="0" w:space="0" w:color="auto"/>
        <w:right w:val="none" w:sz="0" w:space="0" w:color="auto"/>
      </w:divBdr>
    </w:div>
    <w:div w:id="1995376419">
      <w:bodyDiv w:val="1"/>
      <w:marLeft w:val="0"/>
      <w:marRight w:val="0"/>
      <w:marTop w:val="0"/>
      <w:marBottom w:val="0"/>
      <w:divBdr>
        <w:top w:val="none" w:sz="0" w:space="0" w:color="auto"/>
        <w:left w:val="none" w:sz="0" w:space="0" w:color="auto"/>
        <w:bottom w:val="none" w:sz="0" w:space="0" w:color="auto"/>
        <w:right w:val="none" w:sz="0" w:space="0" w:color="auto"/>
      </w:divBdr>
    </w:div>
    <w:div w:id="211158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JqmMMBg3i6U0FspbSq3Y1py+TQ==">CgMxLjA4AHIhMTVtVjgxbmY2ZmJNODNsNDVnaVR3bzlZV3lCWk4wU1dr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905892-9683-40D9-92D3-E930B0F4D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5612</Words>
  <Characters>30866</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Alberto Santamaría Sanabria</dc:creator>
  <cp:lastModifiedBy>Lina Gómez</cp:lastModifiedBy>
  <cp:revision>2</cp:revision>
  <dcterms:created xsi:type="dcterms:W3CDTF">2025-06-04T18:45:00Z</dcterms:created>
  <dcterms:modified xsi:type="dcterms:W3CDTF">2025-06-04T18:45:00Z</dcterms:modified>
</cp:coreProperties>
</file>